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64DA21" w14:textId="12B0A8C3" w:rsidR="009A7862" w:rsidRDefault="009A7862" w:rsidP="009A7862">
      <w:pPr>
        <w:tabs>
          <w:tab w:val="left" w:pos="2923"/>
        </w:tabs>
        <w:spacing w:before="1600"/>
      </w:pPr>
    </w:p>
    <w:tbl>
      <w:tblPr>
        <w:tblStyle w:val="Grilledutableau"/>
        <w:tblW w:w="87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6973"/>
        <w:gridCol w:w="1757"/>
      </w:tblGrid>
      <w:tr w:rsidR="009A7862" w:rsidRPr="00A84B6E" w14:paraId="4808B16A" w14:textId="77777777" w:rsidTr="004F6C74">
        <w:trPr>
          <w:trHeight w:val="678"/>
        </w:trPr>
        <w:tc>
          <w:tcPr>
            <w:tcW w:w="6973" w:type="dxa"/>
          </w:tcPr>
          <w:p w14:paraId="5910D298" w14:textId="448D9CCF" w:rsidR="009A7862" w:rsidRPr="004E6634" w:rsidRDefault="00D13271" w:rsidP="004F6C74">
            <w:pPr>
              <w:pStyle w:val="Titel1"/>
              <w:widowControl w:val="0"/>
              <w:spacing w:before="240"/>
              <w:ind w:right="0"/>
              <w:rPr>
                <w:b/>
                <w:sz w:val="60"/>
                <w:szCs w:val="60"/>
              </w:rPr>
            </w:pPr>
            <w:r>
              <w:rPr>
                <w:b/>
                <w:sz w:val="60"/>
                <w:szCs w:val="60"/>
              </w:rPr>
              <w:t>Communiqué de presse</w:t>
            </w:r>
          </w:p>
        </w:tc>
        <w:tc>
          <w:tcPr>
            <w:tcW w:w="1757" w:type="dxa"/>
          </w:tcPr>
          <w:p w14:paraId="756BEA4E" w14:textId="7DF60B0B" w:rsidR="009A7862" w:rsidRPr="00A84B6E" w:rsidRDefault="00D13271" w:rsidP="00D13271">
            <w:pPr>
              <w:tabs>
                <w:tab w:val="left" w:pos="983"/>
              </w:tabs>
              <w:spacing w:line="240" w:lineRule="exact"/>
              <w:jc w:val="center"/>
              <w:rPr>
                <w:rFonts w:eastAsia="Calibri" w:cs="Times New Roman"/>
                <w:color w:val="808080" w:themeColor="background1" w:themeShade="80"/>
                <w:sz w:val="18"/>
                <w:szCs w:val="18"/>
                <w:lang w:val="en-US"/>
              </w:rPr>
            </w:pPr>
            <w:r>
              <w:rPr>
                <w:rFonts w:eastAsia="Calibri" w:cs="Times New Roman"/>
                <w:color w:val="808080" w:themeColor="background1" w:themeShade="80"/>
                <w:sz w:val="18"/>
                <w:szCs w:val="18"/>
                <w:lang w:val="en-US"/>
              </w:rPr>
              <w:t>26 mars</w:t>
            </w:r>
            <w:r w:rsidR="000651B4">
              <w:rPr>
                <w:rFonts w:eastAsia="Calibri" w:cs="Times New Roman"/>
                <w:color w:val="808080" w:themeColor="background1" w:themeShade="80"/>
                <w:sz w:val="18"/>
                <w:szCs w:val="18"/>
                <w:lang w:val="en-US"/>
              </w:rPr>
              <w:t>, 2026</w:t>
            </w:r>
            <w:r w:rsidR="009A7862" w:rsidRPr="00A84B6E">
              <w:rPr>
                <w:rFonts w:eastAsia="Calibri" w:cs="Times New Roman"/>
                <w:color w:val="808080" w:themeColor="background1" w:themeShade="80"/>
                <w:sz w:val="18"/>
                <w:szCs w:val="18"/>
                <w:lang w:val="en-US"/>
              </w:rPr>
              <w:br/>
            </w:r>
          </w:p>
        </w:tc>
      </w:tr>
    </w:tbl>
    <w:p w14:paraId="7A3D65A6" w14:textId="77777777" w:rsidR="00A52C7E" w:rsidRPr="00A52C7E" w:rsidRDefault="00A52C7E" w:rsidP="00310D59">
      <w:pPr>
        <w:pStyle w:val="Untertitel1"/>
        <w:widowControl w:val="0"/>
        <w:spacing w:before="480"/>
        <w:ind w:right="-2"/>
        <w:jc w:val="both"/>
        <w:rPr>
          <w:lang w:val="fr-FR"/>
        </w:rPr>
      </w:pPr>
      <w:r w:rsidRPr="00A52C7E">
        <w:rPr>
          <w:lang w:val="fr-FR"/>
        </w:rPr>
        <w:t>BASF Coatings annonce une transition de leadership après la finalisation de la transaction</w:t>
      </w:r>
    </w:p>
    <w:p w14:paraId="5C20B891" w14:textId="77777777" w:rsidR="00310D59" w:rsidRPr="00310D59" w:rsidRDefault="00310D59" w:rsidP="00310D59">
      <w:pPr>
        <w:pStyle w:val="FormatStandard"/>
        <w:ind w:right="-2"/>
        <w:jc w:val="both"/>
        <w:rPr>
          <w:noProof/>
          <w:lang w:val="fr-FR"/>
        </w:rPr>
      </w:pPr>
      <w:r w:rsidRPr="00310D59">
        <w:rPr>
          <w:noProof/>
          <w:lang w:val="fr-FR"/>
        </w:rPr>
        <w:t xml:space="preserve">BASF Coatings a annoncé aujourd’hui (26 mars 2026) que </w:t>
      </w:r>
      <w:r w:rsidRPr="00310D59">
        <w:rPr>
          <w:b/>
          <w:bCs/>
          <w:noProof/>
          <w:lang w:val="fr-FR"/>
        </w:rPr>
        <w:t>Jens Luehring</w:t>
      </w:r>
      <w:r w:rsidRPr="00310D59">
        <w:rPr>
          <w:noProof/>
          <w:lang w:val="fr-FR"/>
        </w:rPr>
        <w:t xml:space="preserve"> sera nommé </w:t>
      </w:r>
      <w:r w:rsidRPr="00310D59">
        <w:rPr>
          <w:b/>
          <w:bCs/>
          <w:noProof/>
          <w:lang w:val="fr-FR"/>
        </w:rPr>
        <w:t>Directeur Général (Chief Executive Officer)</w:t>
      </w:r>
      <w:r w:rsidRPr="00310D59">
        <w:rPr>
          <w:noProof/>
          <w:lang w:val="fr-FR"/>
        </w:rPr>
        <w:t xml:space="preserve"> à la clôture de la transaction entre BASF et Carlyle, qui permettra l’établissement d’une entreprise de revêtements indépendante. </w:t>
      </w:r>
      <w:r w:rsidRPr="00310D59">
        <w:rPr>
          <w:b/>
          <w:bCs/>
          <w:noProof/>
          <w:lang w:val="fr-FR"/>
        </w:rPr>
        <w:t>Dr Uta Holzenkamp</w:t>
      </w:r>
      <w:r w:rsidRPr="00310D59">
        <w:rPr>
          <w:noProof/>
          <w:lang w:val="fr-FR"/>
        </w:rPr>
        <w:t xml:space="preserve"> continuera de diriger BASF Coatings jusqu’à la finalisation de la transaction, puis accompagnera Jens Luehring afin d’assurer une transition fluide.</w:t>
      </w:r>
    </w:p>
    <w:p w14:paraId="6E556971" w14:textId="77777777" w:rsidR="00310D59" w:rsidRPr="00310D59" w:rsidRDefault="00310D59" w:rsidP="00310D59">
      <w:pPr>
        <w:pStyle w:val="FormatStandard"/>
        <w:ind w:right="-2"/>
        <w:jc w:val="both"/>
        <w:rPr>
          <w:noProof/>
          <w:lang w:val="fr-FR"/>
        </w:rPr>
      </w:pPr>
      <w:r w:rsidRPr="00310D59">
        <w:rPr>
          <w:noProof/>
          <w:lang w:val="fr-FR"/>
        </w:rPr>
        <w:t>La transaction entre BASF et Carlyle, annoncée le 10 octobre 2025, est soumise aux autorisations réglementaires habituelles et devrait être finalisée au deuxième trimestre 2026.</w:t>
      </w:r>
    </w:p>
    <w:p w14:paraId="5DBAFAED" w14:textId="77777777" w:rsidR="00310D59" w:rsidRPr="00310D59" w:rsidRDefault="00310D59" w:rsidP="00310D59">
      <w:pPr>
        <w:pStyle w:val="FormatStandard"/>
        <w:ind w:right="-2"/>
        <w:jc w:val="both"/>
        <w:rPr>
          <w:noProof/>
          <w:lang w:val="fr-FR"/>
        </w:rPr>
      </w:pPr>
      <w:r w:rsidRPr="00310D59">
        <w:rPr>
          <w:noProof/>
          <w:lang w:val="fr-FR"/>
        </w:rPr>
        <w:t xml:space="preserve">« Uta Holzenkamp a façonné BASF Coatings avec un engagement fort envers ses collaborateurs et ses clients », a déclaré </w:t>
      </w:r>
      <w:r w:rsidRPr="00310D59">
        <w:rPr>
          <w:b/>
          <w:bCs/>
          <w:noProof/>
          <w:lang w:val="fr-FR"/>
        </w:rPr>
        <w:t>Tanaka Maswoswe</w:t>
      </w:r>
      <w:r w:rsidRPr="00310D59">
        <w:rPr>
          <w:noProof/>
          <w:lang w:val="fr-FR"/>
        </w:rPr>
        <w:t>, Partner chez Carlyle. « Son leadership tout au long de la préparation du carve-out et de la transition a été déterminant pour positionner l’entreprise vers un avenir réussi en tant qu’acteur indépendant. Nous lui sommes profondément reconnaissants pour sa contribution et pour la stabilité qu’elle continuera d’apporter après la clôture. »</w:t>
      </w:r>
    </w:p>
    <w:p w14:paraId="69393F12" w14:textId="77777777" w:rsidR="00310D59" w:rsidRPr="00310D59" w:rsidRDefault="00310D59" w:rsidP="00310D59">
      <w:pPr>
        <w:pStyle w:val="FormatStandard"/>
        <w:ind w:right="-2"/>
        <w:jc w:val="both"/>
        <w:rPr>
          <w:noProof/>
          <w:lang w:val="fr-FR"/>
        </w:rPr>
      </w:pPr>
      <w:r w:rsidRPr="00310D59">
        <w:rPr>
          <w:noProof/>
          <w:lang w:val="fr-FR"/>
        </w:rPr>
        <w:t xml:space="preserve">« Nous sommes ravis de voir Uta passer le relais à Jens, un dirigeant dont le parcours démontre une solide expérience dans la transformation de carve-outs en entreprises indépendantes performantes et en croissance. En s’appuyant sur l’héritage d’Uta et sur l’expérience de Jens à la tête d’organisations, BASF Coatings </w:t>
      </w:r>
      <w:r w:rsidRPr="00310D59">
        <w:rPr>
          <w:noProof/>
          <w:lang w:val="fr-FR"/>
        </w:rPr>
        <w:lastRenderedPageBreak/>
        <w:t>est idéalement positionnée pour aborder la prochaine phase de son développement », a ajouté Tanaka Maswoswe.</w:t>
      </w:r>
    </w:p>
    <w:p w14:paraId="543581BC" w14:textId="77777777" w:rsidR="00310D59" w:rsidRPr="00310D59" w:rsidRDefault="00310D59" w:rsidP="00310D59">
      <w:pPr>
        <w:pStyle w:val="FormatStandard"/>
        <w:ind w:right="-2"/>
        <w:jc w:val="both"/>
        <w:rPr>
          <w:noProof/>
          <w:lang w:val="fr-FR"/>
        </w:rPr>
      </w:pPr>
      <w:r w:rsidRPr="00310D59">
        <w:rPr>
          <w:b/>
          <w:bCs/>
          <w:noProof/>
          <w:lang w:val="fr-FR"/>
        </w:rPr>
        <w:t>Dr Uta Holzenkamp</w:t>
      </w:r>
      <w:r w:rsidRPr="00310D59">
        <w:rPr>
          <w:noProof/>
          <w:lang w:val="fr-FR"/>
        </w:rPr>
        <w:t>, Présidente de BASF Coatings, a déclaré :</w:t>
      </w:r>
      <w:r w:rsidRPr="00310D59">
        <w:rPr>
          <w:noProof/>
          <w:lang w:val="fr-FR"/>
        </w:rPr>
        <w:br/>
        <w:t>« Après avoir construit des bases solides pour BASF Coatings, avec des partenariats clients durables, une équipe mondiale engagée et passionnée, ainsi que des technologies innovantes de premier plan, le moment est venu de passer le relais à Jens à la clôture de la transaction. Grâce à son expérience internationale dans la création et la transformation d’entreprises indépendantes, il conduira la prochaine phase de croissance de l’entreprise. »</w:t>
      </w:r>
    </w:p>
    <w:p w14:paraId="23BEEE3A" w14:textId="77777777" w:rsidR="00310D59" w:rsidRPr="00310D59" w:rsidRDefault="00310D59" w:rsidP="00310D59">
      <w:pPr>
        <w:pStyle w:val="FormatStandard"/>
        <w:ind w:right="-2"/>
        <w:jc w:val="both"/>
        <w:rPr>
          <w:noProof/>
          <w:lang w:val="fr-FR"/>
        </w:rPr>
      </w:pPr>
      <w:r w:rsidRPr="00310D59">
        <w:rPr>
          <w:b/>
          <w:bCs/>
          <w:noProof/>
          <w:lang w:val="fr-FR"/>
        </w:rPr>
        <w:t>Jens Luehring</w:t>
      </w:r>
      <w:r w:rsidRPr="00310D59">
        <w:rPr>
          <w:noProof/>
          <w:lang w:val="fr-FR"/>
        </w:rPr>
        <w:t>, futur Directeur Général, a déclaré :</w:t>
      </w:r>
      <w:r w:rsidRPr="00310D59">
        <w:rPr>
          <w:noProof/>
          <w:lang w:val="fr-FR"/>
        </w:rPr>
        <w:br/>
        <w:t>« Je suis honoré de prendre ce rôle à un moment charnière pour l’entreprise. BASF Coatings dispose d’équipes solides, de positions de marché de premier plan et de produits et services hautement différenciés. En nous appuyant sur ces atouts, nous accélérerons la transformation vers un leader indépendant des technologies de revêtements, entrepreneurial et axé sur la performance. »</w:t>
      </w:r>
    </w:p>
    <w:p w14:paraId="6EC5F43E" w14:textId="77777777" w:rsidR="00310D59" w:rsidRPr="00310D59" w:rsidRDefault="00310D59" w:rsidP="00310D59">
      <w:pPr>
        <w:pStyle w:val="FormatStandard"/>
        <w:ind w:right="-2"/>
        <w:jc w:val="both"/>
        <w:rPr>
          <w:noProof/>
          <w:lang w:val="fr-FR"/>
        </w:rPr>
      </w:pPr>
      <w:r w:rsidRPr="00310D59">
        <w:rPr>
          <w:noProof/>
          <w:lang w:val="fr-FR"/>
        </w:rPr>
        <w:t>Jens Luehring est un dirigeant international disposant de plus de vingt ans d’expérience dans la transformation d’entreprises, les carve-outs, les fusions-acquisitions et la finance. De nationalité allemande et basé aux États-Unis depuis 2012, il a passé 18 ans dans l’industrie des gaz industriels et médicaux, notamment en dirigeant le carve-out et la mise en place des activités américaines historiques de Linde en tant qu’entreprise indépendante soutenue par des fonds de capital-investissement. En tant que Président et Directeur Général, il a dirigé l’entreprise pendant sept ans, en améliorant sa performance financière, son excellence opérationnelle et sa croissance. Jens a exercé des fonctions de CEO et de CFO pendant plus de dix ans et a débuté sa carrière dans la banque d’investissement.</w:t>
      </w:r>
    </w:p>
    <w:p w14:paraId="3B37F22C" w14:textId="77777777" w:rsidR="00310D59" w:rsidRPr="00310D59" w:rsidRDefault="00310D59" w:rsidP="00310D59">
      <w:pPr>
        <w:pStyle w:val="FormatStandard"/>
        <w:ind w:right="-2"/>
        <w:jc w:val="both"/>
        <w:rPr>
          <w:noProof/>
          <w:lang w:val="fr-FR"/>
        </w:rPr>
      </w:pPr>
      <w:r w:rsidRPr="00310D59">
        <w:rPr>
          <w:b/>
          <w:bCs/>
          <w:noProof/>
          <w:lang w:val="fr-FR"/>
        </w:rPr>
        <w:t>Dr Uta Holzenkamp</w:t>
      </w:r>
      <w:r w:rsidRPr="00310D59">
        <w:rPr>
          <w:noProof/>
          <w:lang w:val="fr-FR"/>
        </w:rPr>
        <w:t xml:space="preserve"> dirige BASF Coatings depuis 2022, avec une responsabilité mondiale sur environ 10 500 collaborateurs. Elle bénéficie de près de trente ans d’expérience internationale en leadership dans les secteurs des revêtements, de l’automobile et de la chimie. Depuis son arrivée chez BASF en 1997, elle a occupé divers postes de direction en Allemagne et à l’international. Tout au long de sa carrière, elle a su allier une forte expertise business et une responsabilité P&amp;L à une approche managériale centrée sur l’humain, avec un accent constant sur les clients </w:t>
      </w:r>
      <w:r w:rsidRPr="00310D59">
        <w:rPr>
          <w:noProof/>
          <w:lang w:val="fr-FR"/>
        </w:rPr>
        <w:lastRenderedPageBreak/>
        <w:t>et l’excellence opérationnelle. Uta est reconnue pour sa capacité à créer des cultures d’entreprise performantes et propices au changement.</w:t>
      </w:r>
    </w:p>
    <w:p w14:paraId="6C52615E" w14:textId="77777777" w:rsidR="00310D59" w:rsidRPr="00310D59" w:rsidRDefault="00310D59" w:rsidP="00310D59">
      <w:pPr>
        <w:pStyle w:val="FormatStandard"/>
        <w:ind w:right="-2"/>
        <w:jc w:val="both"/>
        <w:rPr>
          <w:noProof/>
          <w:lang w:val="fr-FR"/>
        </w:rPr>
      </w:pPr>
      <w:r w:rsidRPr="00310D59">
        <w:rPr>
          <w:noProof/>
          <w:lang w:val="fr-FR"/>
        </w:rPr>
        <w:t xml:space="preserve">Le 10 octobre 2025, BASF et Carlyle, en partenariat avec la </w:t>
      </w:r>
      <w:r w:rsidRPr="00310D59">
        <w:rPr>
          <w:b/>
          <w:bCs/>
          <w:noProof/>
          <w:lang w:val="fr-FR"/>
        </w:rPr>
        <w:t>Qatar Investment Authority (QIA)</w:t>
      </w:r>
      <w:r w:rsidRPr="00310D59">
        <w:rPr>
          <w:noProof/>
          <w:lang w:val="fr-FR"/>
        </w:rPr>
        <w:t>, ont annoncé la signature d’un accord engageant pour la cession des activités de peintures automobiles OEM, de peintures de réparation automobile et de traitements de surface de BASF.</w:t>
      </w:r>
    </w:p>
    <w:p w14:paraId="2F6E35C1" w14:textId="77777777" w:rsidR="00310D59" w:rsidRDefault="00310D59" w:rsidP="00310D59">
      <w:pPr>
        <w:pStyle w:val="FormatStandard"/>
        <w:jc w:val="both"/>
        <w:rPr>
          <w:noProof/>
          <w:lang w:val="fr-FR"/>
        </w:rPr>
      </w:pPr>
      <w:r w:rsidRPr="00310D59">
        <w:rPr>
          <w:noProof/>
          <w:lang w:val="fr-FR"/>
        </w:rPr>
        <w:pict w14:anchorId="55E8B97C">
          <v:rect id="_x0000_i1031" style="width:0;height:1.5pt" o:hralign="center" o:hrstd="t" o:hr="t" fillcolor="#a0a0a0" stroked="f"/>
        </w:pict>
      </w:r>
    </w:p>
    <w:p w14:paraId="386DFDB7" w14:textId="77777777" w:rsidR="00E64868" w:rsidRPr="00E64868" w:rsidRDefault="00E64868" w:rsidP="00E64868">
      <w:pPr>
        <w:autoSpaceDE w:val="0"/>
        <w:autoSpaceDN w:val="0"/>
        <w:adjustRightInd w:val="0"/>
        <w:spacing w:before="240" w:after="200" w:line="360" w:lineRule="auto"/>
        <w:ind w:right="-340"/>
        <w:jc w:val="both"/>
        <w:rPr>
          <w:rFonts w:asciiTheme="majorHAnsi" w:eastAsia="Calibri" w:hAnsiTheme="majorHAnsi" w:cstheme="majorHAnsi"/>
          <w:b/>
          <w:bCs/>
          <w:lang w:val="fr-FR"/>
        </w:rPr>
      </w:pPr>
      <w:bookmarkStart w:id="0" w:name="_Hlk507486823"/>
      <w:bookmarkStart w:id="1" w:name="_Hlk507486970"/>
      <w:bookmarkStart w:id="2" w:name="_Hlk507486843"/>
      <w:r w:rsidRPr="00E64868">
        <w:rPr>
          <w:rFonts w:asciiTheme="majorHAnsi" w:eastAsia="Calibri" w:hAnsiTheme="majorHAnsi" w:cstheme="majorHAnsi"/>
          <w:b/>
          <w:bCs/>
          <w:lang w:val="fr-FR"/>
        </w:rPr>
        <w:t>À propos de BASF Coatings</w:t>
      </w:r>
    </w:p>
    <w:p w14:paraId="6EAB2427" w14:textId="77777777" w:rsidR="00E64868" w:rsidRPr="00E64868" w:rsidRDefault="00E64868" w:rsidP="00E64868">
      <w:pPr>
        <w:autoSpaceDE w:val="0"/>
        <w:autoSpaceDN w:val="0"/>
        <w:adjustRightInd w:val="0"/>
        <w:spacing w:before="240" w:after="200" w:line="360" w:lineRule="auto"/>
        <w:ind w:right="-340"/>
        <w:jc w:val="both"/>
        <w:rPr>
          <w:rFonts w:asciiTheme="majorHAnsi" w:eastAsia="Calibri" w:hAnsiTheme="majorHAnsi" w:cstheme="majorHAnsi"/>
          <w:lang w:val="fr-FR"/>
        </w:rPr>
      </w:pPr>
      <w:r w:rsidRPr="00E64868">
        <w:rPr>
          <w:rFonts w:asciiTheme="majorHAnsi" w:eastAsia="Calibri" w:hAnsiTheme="majorHAnsi" w:cstheme="majorHAnsi"/>
          <w:lang w:val="fr-FR"/>
        </w:rPr>
        <w:t>BASF Coatings possède une expertise mondiale dans le développement, la production et la commercialisation de revêtements innovants et durables destinées aux constructeurs et équipementiers automobiles, à la réparation automobile ainsi que dans le traitement de surface appliqué sur substrats métalliques, plastiques et en verre pour un large éventail d'industries. Nous créons des solutions avant-gardistes et promouvons l’innovation, le design et les nouvelles applications pour répondre aux besoins de nos partenaires dans le monde entier. Nos clients bénéficient de nos connaissances, de notre expertise et des ressources d’équipes interdisciplinaires et mondiales en Europe, en Amérique du Nord, en Amérique du Sud et en Asie-Pacifique. En 2025, la division Coatings a réalisé un chiffre d'affaires mondial d'environ 3,7 milliards d'euros.</w:t>
      </w:r>
    </w:p>
    <w:p w14:paraId="3696E1BB" w14:textId="77777777" w:rsidR="00E64868" w:rsidRPr="00E64868" w:rsidRDefault="00E64868" w:rsidP="00E64868">
      <w:pPr>
        <w:autoSpaceDE w:val="0"/>
        <w:autoSpaceDN w:val="0"/>
        <w:adjustRightInd w:val="0"/>
        <w:spacing w:before="240" w:after="200" w:line="360" w:lineRule="auto"/>
        <w:ind w:right="-340"/>
        <w:jc w:val="both"/>
        <w:rPr>
          <w:rFonts w:asciiTheme="minorHAnsi" w:eastAsia="Times New Roman" w:hAnsiTheme="minorHAnsi" w:cstheme="minorHAnsi"/>
          <w:b/>
          <w:bCs/>
          <w:color w:val="000000"/>
          <w:lang w:val="fr-FR" w:eastAsia="de-DE"/>
        </w:rPr>
      </w:pPr>
      <w:r w:rsidRPr="00E64868">
        <w:rPr>
          <w:rFonts w:asciiTheme="minorHAnsi" w:eastAsia="Calibri" w:hAnsiTheme="minorHAnsi" w:cstheme="minorHAnsi"/>
          <w:lang w:val="fr-FR"/>
        </w:rPr>
        <w:t xml:space="preserve">BASF Coatings – Animés par la passion et la science, nous allons toujours au-delà de la surface. Pour plus d'informations, rendez-vous sur </w:t>
      </w:r>
      <w:hyperlink r:id="rId11" w:history="1">
        <w:r w:rsidRPr="00E64868">
          <w:rPr>
            <w:rFonts w:asciiTheme="minorHAnsi" w:eastAsia="Calibri" w:hAnsiTheme="minorHAnsi" w:cstheme="minorHAnsi"/>
            <w:color w:val="004A96"/>
            <w:u w:val="single"/>
            <w:lang w:val="fr-FR"/>
          </w:rPr>
          <w:t>www.basf-coatings.com</w:t>
        </w:r>
      </w:hyperlink>
      <w:r w:rsidRPr="00E64868">
        <w:rPr>
          <w:rFonts w:asciiTheme="minorHAnsi" w:eastAsia="SimSun" w:hAnsiTheme="minorHAnsi" w:cstheme="minorHAnsi"/>
          <w:lang w:val="fr-FR"/>
        </w:rPr>
        <w:t xml:space="preserve"> et </w:t>
      </w:r>
      <w:hyperlink r:id="rId12" w:history="1">
        <w:r w:rsidRPr="00E64868">
          <w:rPr>
            <w:rFonts w:asciiTheme="minorHAnsi" w:eastAsia="SimSun" w:hAnsiTheme="minorHAnsi" w:cstheme="minorHAnsi"/>
            <w:color w:val="004A96"/>
            <w:u w:val="single"/>
            <w:lang w:val="fr-FR"/>
          </w:rPr>
          <w:t xml:space="preserve">suivez-nous sur </w:t>
        </w:r>
        <w:proofErr w:type="spellStart"/>
        <w:r w:rsidRPr="00E64868">
          <w:rPr>
            <w:rFonts w:asciiTheme="minorHAnsi" w:eastAsia="SimSun" w:hAnsiTheme="minorHAnsi" w:cstheme="minorHAnsi"/>
            <w:color w:val="004A96"/>
            <w:u w:val="single"/>
            <w:lang w:val="fr-FR"/>
          </w:rPr>
          <w:t>Linkedln</w:t>
        </w:r>
        <w:proofErr w:type="spellEnd"/>
      </w:hyperlink>
    </w:p>
    <w:bookmarkEnd w:id="0"/>
    <w:bookmarkEnd w:id="1"/>
    <w:bookmarkEnd w:id="2"/>
    <w:p w14:paraId="555E9C9F" w14:textId="77777777" w:rsidR="00E64868" w:rsidRPr="00E64868" w:rsidRDefault="00E64868" w:rsidP="00E64868">
      <w:pPr>
        <w:jc w:val="both"/>
        <w:textAlignment w:val="baseline"/>
        <w:rPr>
          <w:rFonts w:ascii="Segoe UI" w:eastAsia="Times New Roman" w:hAnsi="Segoe UI" w:cs="Segoe UI"/>
          <w:sz w:val="18"/>
          <w:szCs w:val="18"/>
          <w:lang w:val="fr-FR" w:eastAsia="fr-FR"/>
        </w:rPr>
      </w:pPr>
      <w:r w:rsidRPr="00E64868">
        <w:rPr>
          <w:rFonts w:eastAsia="Times New Roman" w:cs="Arial"/>
          <w:sz w:val="22"/>
          <w:szCs w:val="22"/>
          <w:lang w:val="fr-FR" w:eastAsia="fr-FR"/>
        </w:rPr>
        <w:t> </w:t>
      </w:r>
    </w:p>
    <w:p w14:paraId="29AB69DD" w14:textId="77777777" w:rsidR="00E64868" w:rsidRPr="00E64868" w:rsidRDefault="00E64868" w:rsidP="00E64868">
      <w:pPr>
        <w:spacing w:line="360" w:lineRule="auto"/>
        <w:jc w:val="both"/>
        <w:textAlignment w:val="baseline"/>
        <w:rPr>
          <w:rFonts w:ascii="Segoe UI" w:eastAsia="Times New Roman" w:hAnsi="Segoe UI" w:cs="Segoe UI"/>
          <w:sz w:val="18"/>
          <w:szCs w:val="18"/>
          <w:lang w:val="fr-FR" w:eastAsia="fr-FR"/>
        </w:rPr>
      </w:pPr>
      <w:r w:rsidRPr="00E64868">
        <w:rPr>
          <w:rFonts w:eastAsia="Times New Roman" w:cs="Arial"/>
          <w:b/>
          <w:bCs/>
          <w:lang w:val="fr-FR" w:eastAsia="fr-FR"/>
        </w:rPr>
        <w:t>A propos de BASF</w:t>
      </w:r>
      <w:r w:rsidRPr="00E64868">
        <w:rPr>
          <w:rFonts w:eastAsia="Times New Roman" w:cs="Arial"/>
          <w:lang w:val="fr-FR" w:eastAsia="fr-FR"/>
        </w:rPr>
        <w:t> </w:t>
      </w:r>
    </w:p>
    <w:p w14:paraId="3008FE8E" w14:textId="77777777" w:rsidR="00E64868" w:rsidRPr="00E64868" w:rsidRDefault="00E64868" w:rsidP="00E64868">
      <w:pPr>
        <w:spacing w:line="360" w:lineRule="auto"/>
        <w:jc w:val="both"/>
        <w:textAlignment w:val="baseline"/>
        <w:rPr>
          <w:rFonts w:ascii="Segoe UI" w:eastAsia="Times New Roman" w:hAnsi="Segoe UI" w:cs="Segoe UI"/>
          <w:sz w:val="18"/>
          <w:szCs w:val="18"/>
          <w:lang w:val="fr-FR" w:eastAsia="fr-FR"/>
        </w:rPr>
      </w:pPr>
      <w:r w:rsidRPr="00E64868">
        <w:rPr>
          <w:rFonts w:eastAsia="Times New Roman" w:cs="Arial"/>
          <w:lang w:val="fr-FR" w:eastAsia="fr-FR"/>
        </w:rPr>
        <w:t>Chez BASF, nous créons une chimie pour un avenir durable. Notre ambition : nous voulons être l'entreprise chimique préférée pour permettre la transformation verte de nos clients. Nous associons le succès économique à la protection de l'environnement et à la responsabilité sociale. Environ 108 000 employés du groupe BASF contribuent au succès de nos clients dans presque tous les secteurs et presque tous les pays du monde. Notre portefeuille comprend, comme activités principales (« </w:t>
      </w:r>
      <w:proofErr w:type="spellStart"/>
      <w:r w:rsidRPr="00E64868">
        <w:rPr>
          <w:rFonts w:eastAsia="Times New Roman" w:cs="Arial"/>
          <w:lang w:val="fr-FR" w:eastAsia="fr-FR"/>
        </w:rPr>
        <w:t>core</w:t>
      </w:r>
      <w:proofErr w:type="spellEnd"/>
      <w:r w:rsidRPr="00E64868">
        <w:rPr>
          <w:rFonts w:eastAsia="Times New Roman" w:cs="Arial"/>
          <w:lang w:val="fr-FR" w:eastAsia="fr-FR"/>
        </w:rPr>
        <w:t> businesses »), les segments Chemicals, Materials, </w:t>
      </w:r>
      <w:proofErr w:type="spellStart"/>
      <w:r w:rsidRPr="00E64868">
        <w:rPr>
          <w:rFonts w:eastAsia="Times New Roman" w:cs="Arial"/>
          <w:lang w:val="fr-FR" w:eastAsia="fr-FR"/>
        </w:rPr>
        <w:t>Industrial</w:t>
      </w:r>
      <w:proofErr w:type="spellEnd"/>
      <w:r w:rsidRPr="00E64868">
        <w:rPr>
          <w:rFonts w:eastAsia="Times New Roman" w:cs="Arial"/>
          <w:lang w:val="fr-FR" w:eastAsia="fr-FR"/>
        </w:rPr>
        <w:t> Solutions et Nutrition &amp; Care ; nos activités autonomes (« standalone businesses ») sont regroupées dans les segments Surface Technologies et Agricultural Solutions. BASF a réalisé un chiffre d'affaires de 60 milliards d'euros en 2025. Les actions de BASF sont négociées à la bourse de Francfort (BAS) et en tant qu'American </w:t>
      </w:r>
      <w:proofErr w:type="spellStart"/>
      <w:r w:rsidRPr="00E64868">
        <w:rPr>
          <w:rFonts w:eastAsia="Times New Roman" w:cs="Arial"/>
          <w:lang w:val="fr-FR" w:eastAsia="fr-FR"/>
        </w:rPr>
        <w:t>Depositary</w:t>
      </w:r>
      <w:proofErr w:type="spellEnd"/>
      <w:r w:rsidRPr="00E64868">
        <w:rPr>
          <w:rFonts w:eastAsia="Times New Roman" w:cs="Arial"/>
          <w:lang w:val="fr-FR" w:eastAsia="fr-FR"/>
        </w:rPr>
        <w:t> </w:t>
      </w:r>
      <w:proofErr w:type="spellStart"/>
      <w:r w:rsidRPr="00E64868">
        <w:rPr>
          <w:rFonts w:eastAsia="Times New Roman" w:cs="Arial"/>
          <w:lang w:val="fr-FR" w:eastAsia="fr-FR"/>
        </w:rPr>
        <w:t>Receipts</w:t>
      </w:r>
      <w:proofErr w:type="spellEnd"/>
      <w:r w:rsidRPr="00E64868">
        <w:rPr>
          <w:rFonts w:eastAsia="Times New Roman" w:cs="Arial"/>
          <w:lang w:val="fr-FR" w:eastAsia="fr-FR"/>
        </w:rPr>
        <w:t> (BASFY) aux États-Unis. Pour plus d'informations, consultez le site </w:t>
      </w:r>
      <w:hyperlink r:id="rId13" w:tgtFrame="_blank" w:history="1">
        <w:r w:rsidRPr="00E64868">
          <w:rPr>
            <w:rFonts w:eastAsia="Times New Roman" w:cs="Arial"/>
            <w:lang w:val="fr-FR" w:eastAsia="fr-FR"/>
          </w:rPr>
          <w:t>www.basf.com</w:t>
        </w:r>
      </w:hyperlink>
      <w:r w:rsidRPr="00E64868">
        <w:rPr>
          <w:rFonts w:eastAsia="Times New Roman" w:cs="Arial"/>
          <w:lang w:val="fr-FR" w:eastAsia="fr-FR"/>
        </w:rPr>
        <w:t>. </w:t>
      </w:r>
    </w:p>
    <w:p w14:paraId="641A5B0F" w14:textId="77777777" w:rsidR="00E64868" w:rsidRPr="00E64868" w:rsidRDefault="00E64868" w:rsidP="00E64868">
      <w:pPr>
        <w:widowControl w:val="0"/>
        <w:spacing w:after="360" w:line="360" w:lineRule="auto"/>
        <w:ind w:right="-2"/>
        <w:jc w:val="both"/>
        <w:rPr>
          <w:rFonts w:eastAsia="Calibri" w:cs="Times New Roman"/>
          <w:sz w:val="24"/>
          <w:szCs w:val="24"/>
          <w:lang w:val="fr-FR"/>
        </w:rPr>
      </w:pPr>
    </w:p>
    <w:p w14:paraId="271DA7B7" w14:textId="77777777" w:rsidR="00E64868" w:rsidRDefault="00E64868" w:rsidP="00310D59">
      <w:pPr>
        <w:pStyle w:val="FormatStandard"/>
        <w:jc w:val="both"/>
        <w:rPr>
          <w:noProof/>
          <w:lang w:val="fr-FR"/>
        </w:rPr>
      </w:pPr>
    </w:p>
    <w:p w14:paraId="23421009" w14:textId="77777777" w:rsidR="00E64868" w:rsidRPr="00310D59" w:rsidRDefault="00E64868" w:rsidP="00310D59">
      <w:pPr>
        <w:pStyle w:val="FormatStandard"/>
        <w:jc w:val="both"/>
        <w:rPr>
          <w:noProof/>
          <w:lang w:val="fr-FR"/>
        </w:rPr>
      </w:pPr>
    </w:p>
    <w:sectPr w:rsidR="00E64868" w:rsidRPr="00310D59" w:rsidSect="00E9407E">
      <w:headerReference w:type="even" r:id="rId14"/>
      <w:headerReference w:type="default" r:id="rId15"/>
      <w:footerReference w:type="even" r:id="rId16"/>
      <w:footerReference w:type="default" r:id="rId17"/>
      <w:headerReference w:type="first" r:id="rId18"/>
      <w:footerReference w:type="first" r:id="rId19"/>
      <w:pgSz w:w="11906" w:h="16838" w:code="9"/>
      <w:pgMar w:top="1531" w:right="1134" w:bottom="567" w:left="1985" w:header="794"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0118B5" w14:textId="77777777" w:rsidR="00E1709F" w:rsidRDefault="00E1709F" w:rsidP="00B35193">
      <w:r>
        <w:separator/>
      </w:r>
    </w:p>
  </w:endnote>
  <w:endnote w:type="continuationSeparator" w:id="0">
    <w:p w14:paraId="6CE7D24E" w14:textId="77777777" w:rsidR="00E1709F" w:rsidRDefault="00E1709F" w:rsidP="00B351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2B953" w14:textId="77777777" w:rsidR="002D5395" w:rsidRDefault="002D5395">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925"/>
      <w:gridCol w:w="2925"/>
      <w:gridCol w:w="2925"/>
    </w:tblGrid>
    <w:tr w:rsidR="5C3F11BD" w14:paraId="7F41C57F" w14:textId="77777777" w:rsidTr="5C3F11BD">
      <w:trPr>
        <w:trHeight w:val="300"/>
      </w:trPr>
      <w:tc>
        <w:tcPr>
          <w:tcW w:w="2925" w:type="dxa"/>
        </w:tcPr>
        <w:p w14:paraId="0E54B783" w14:textId="40D5D163" w:rsidR="5C3F11BD" w:rsidRDefault="5C3F11BD" w:rsidP="5C3F11BD">
          <w:pPr>
            <w:pStyle w:val="En-tte"/>
            <w:ind w:left="-115"/>
          </w:pPr>
        </w:p>
      </w:tc>
      <w:tc>
        <w:tcPr>
          <w:tcW w:w="2925" w:type="dxa"/>
        </w:tcPr>
        <w:p w14:paraId="0E306C22" w14:textId="6987FE70" w:rsidR="5C3F11BD" w:rsidRDefault="5C3F11BD" w:rsidP="5C3F11BD">
          <w:pPr>
            <w:pStyle w:val="En-tte"/>
            <w:jc w:val="center"/>
          </w:pPr>
        </w:p>
      </w:tc>
      <w:tc>
        <w:tcPr>
          <w:tcW w:w="2925" w:type="dxa"/>
        </w:tcPr>
        <w:p w14:paraId="50079452" w14:textId="4AE4A217" w:rsidR="5C3F11BD" w:rsidRDefault="5C3F11BD" w:rsidP="5C3F11BD">
          <w:pPr>
            <w:pStyle w:val="En-tte"/>
            <w:ind w:right="-115"/>
            <w:jc w:val="right"/>
          </w:pPr>
        </w:p>
      </w:tc>
    </w:tr>
  </w:tbl>
  <w:p w14:paraId="4065C23B" w14:textId="26087CFD" w:rsidR="5C3F11BD" w:rsidRDefault="5C3F11BD" w:rsidP="5C3F11BD">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7F79C4" w14:textId="5FF6B43C" w:rsidR="009A7862" w:rsidRDefault="009A7862" w:rsidP="009A7862">
    <w:pPr>
      <w:pStyle w:val="Pieddepage"/>
      <w:rPr>
        <w:noProof/>
      </w:rPr>
    </w:pPr>
    <w:r>
      <w:rPr>
        <w:noProof/>
        <w:lang w:val="en-US"/>
      </w:rPr>
      <mc:AlternateContent>
        <mc:Choice Requires="wps">
          <w:drawing>
            <wp:anchor distT="0" distB="0" distL="114300" distR="114300" simplePos="0" relativeHeight="251659264" behindDoc="0" locked="0" layoutInCell="1" allowOverlap="1" wp14:anchorId="38D77254" wp14:editId="3C49C1A1">
              <wp:simplePos x="0" y="0"/>
              <wp:positionH relativeFrom="column">
                <wp:posOffset>-1861</wp:posOffset>
              </wp:positionH>
              <wp:positionV relativeFrom="paragraph">
                <wp:posOffset>79441</wp:posOffset>
              </wp:positionV>
              <wp:extent cx="5567855" cy="13138"/>
              <wp:effectExtent l="0" t="0" r="33020" b="25400"/>
              <wp:wrapNone/>
              <wp:docPr id="7" name="Gerader Verbinder 7"/>
              <wp:cNvGraphicFramePr/>
              <a:graphic xmlns:a="http://schemas.openxmlformats.org/drawingml/2006/main">
                <a:graphicData uri="http://schemas.microsoft.com/office/word/2010/wordprocessingShape">
                  <wps:wsp>
                    <wps:cNvCnPr/>
                    <wps:spPr>
                      <a:xfrm>
                        <a:off x="0" y="0"/>
                        <a:ext cx="5567855" cy="13138"/>
                      </a:xfrm>
                      <a:prstGeom prst="line">
                        <a:avLst/>
                      </a:prstGeom>
                      <a:ln w="6350">
                        <a:solidFill>
                          <a:schemeClr val="bg1">
                            <a:lumMod val="50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781DD1E" id="Gerader Verbinder 7"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pt,6.25pt" to="438.25pt,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" strokecolor="#7f7f7f [1612]" strokeweight=".5pt"/>
          </w:pict>
        </mc:Fallback>
      </mc:AlternateContent>
    </w:r>
  </w:p>
  <w:tbl>
    <w:tblPr>
      <w:tblStyle w:val="Tabellenraster1"/>
      <w:tblW w:w="9582"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3194"/>
      <w:gridCol w:w="3194"/>
      <w:gridCol w:w="3194"/>
    </w:tblGrid>
    <w:tr w:rsidR="009A7862" w:rsidRPr="00AE3404" w14:paraId="715ABAAE" w14:textId="77777777" w:rsidTr="004F6C74">
      <w:tc>
        <w:tcPr>
          <w:tcW w:w="3194" w:type="dxa"/>
        </w:tcPr>
        <w:p w14:paraId="016F1B9D" w14:textId="3FB3B43B" w:rsidR="009A7862" w:rsidRPr="00CB3D28" w:rsidRDefault="009A7862" w:rsidP="00CB3D28">
          <w:pPr>
            <w:tabs>
              <w:tab w:val="left" w:pos="983"/>
            </w:tabs>
            <w:spacing w:line="240" w:lineRule="exact"/>
            <w:ind w:right="454"/>
            <w:rPr>
              <w:rFonts w:eastAsia="Calibri" w:cs="Times New Roman"/>
              <w:color w:val="808080" w:themeColor="background1" w:themeShade="80"/>
              <w:sz w:val="18"/>
              <w:szCs w:val="18"/>
              <w:lang w:val="en-US"/>
            </w:rPr>
          </w:pPr>
          <w:r w:rsidRPr="00CB3D28">
            <w:rPr>
              <w:rFonts w:eastAsia="Calibri" w:cs="Times New Roman"/>
              <w:color w:val="808080" w:themeColor="background1" w:themeShade="80"/>
              <w:sz w:val="18"/>
              <w:szCs w:val="18"/>
              <w:lang w:val="en-US"/>
            </w:rPr>
            <w:t>Media Relations</w:t>
          </w:r>
        </w:p>
        <w:p w14:paraId="20456DC3" w14:textId="6A005351" w:rsidR="4A35C204" w:rsidRPr="00CB3D28" w:rsidRDefault="4A35C204" w:rsidP="00CB3D28">
          <w:pPr>
            <w:tabs>
              <w:tab w:val="left" w:pos="983"/>
            </w:tabs>
            <w:spacing w:line="240" w:lineRule="exact"/>
            <w:ind w:right="454"/>
            <w:rPr>
              <w:rFonts w:eastAsia="Calibri" w:cs="Times New Roman"/>
              <w:color w:val="808080" w:themeColor="background1" w:themeShade="80"/>
              <w:sz w:val="18"/>
              <w:szCs w:val="18"/>
              <w:lang w:val="en-US"/>
            </w:rPr>
          </w:pPr>
          <w:r w:rsidRPr="00CB3D28">
            <w:rPr>
              <w:rFonts w:eastAsia="Calibri" w:cs="Times New Roman"/>
              <w:color w:val="808080" w:themeColor="background1" w:themeShade="80"/>
              <w:sz w:val="18"/>
              <w:szCs w:val="18"/>
              <w:lang w:val="en-US"/>
            </w:rPr>
            <w:t>Lena Koehne</w:t>
          </w:r>
        </w:p>
        <w:p w14:paraId="24A91169" w14:textId="4C9A7708" w:rsidR="009A7862" w:rsidRPr="00CB3D28" w:rsidRDefault="009A7862" w:rsidP="00CB3D28">
          <w:pPr>
            <w:tabs>
              <w:tab w:val="left" w:pos="983"/>
            </w:tabs>
            <w:spacing w:line="240" w:lineRule="exact"/>
            <w:ind w:right="454"/>
            <w:rPr>
              <w:rFonts w:eastAsia="Calibri" w:cs="Times New Roman"/>
              <w:color w:val="808080" w:themeColor="background1" w:themeShade="80"/>
              <w:sz w:val="18"/>
              <w:szCs w:val="18"/>
              <w:lang w:val="en-US"/>
            </w:rPr>
          </w:pPr>
          <w:r w:rsidRPr="00CB3D28">
            <w:rPr>
              <w:rFonts w:eastAsia="Calibri" w:cs="Times New Roman"/>
              <w:color w:val="808080" w:themeColor="background1" w:themeShade="80"/>
              <w:sz w:val="18"/>
              <w:szCs w:val="18"/>
              <w:lang w:val="en-US"/>
            </w:rPr>
            <w:t xml:space="preserve">Phone: </w:t>
          </w:r>
          <w:r w:rsidR="009D5024" w:rsidRPr="00CB3D28">
            <w:rPr>
              <w:rFonts w:eastAsia="Calibri" w:cs="Times New Roman"/>
              <w:color w:val="808080" w:themeColor="background1" w:themeShade="80"/>
              <w:sz w:val="18"/>
              <w:szCs w:val="18"/>
              <w:lang w:val="en-US"/>
            </w:rPr>
            <w:t xml:space="preserve">+49 </w:t>
          </w:r>
          <w:r w:rsidR="13121A87" w:rsidRPr="00CB3D28">
            <w:rPr>
              <w:rFonts w:eastAsia="Calibri" w:cs="Times New Roman"/>
              <w:color w:val="808080" w:themeColor="background1" w:themeShade="80"/>
              <w:sz w:val="18"/>
              <w:szCs w:val="18"/>
              <w:lang w:val="en-US"/>
            </w:rPr>
            <w:t>152</w:t>
          </w:r>
          <w:r w:rsidR="009D5024" w:rsidRPr="00CB3D28">
            <w:rPr>
              <w:rFonts w:eastAsia="Calibri" w:cs="Times New Roman"/>
              <w:color w:val="808080" w:themeColor="background1" w:themeShade="80"/>
              <w:sz w:val="18"/>
              <w:szCs w:val="18"/>
              <w:lang w:val="en-US"/>
            </w:rPr>
            <w:t xml:space="preserve"> </w:t>
          </w:r>
          <w:r w:rsidR="01CD9E08" w:rsidRPr="00CB3D28">
            <w:rPr>
              <w:rFonts w:eastAsia="Calibri" w:cs="Times New Roman"/>
              <w:color w:val="808080" w:themeColor="background1" w:themeShade="80"/>
              <w:sz w:val="18"/>
              <w:szCs w:val="18"/>
              <w:lang w:val="en-US"/>
            </w:rPr>
            <w:t>56449244</w:t>
          </w:r>
        </w:p>
        <w:p w14:paraId="050DB371" w14:textId="15C4FC20" w:rsidR="009A7862" w:rsidRPr="006F5440" w:rsidRDefault="18F7E90A" w:rsidP="009A7862">
          <w:pPr>
            <w:tabs>
              <w:tab w:val="left" w:pos="983"/>
            </w:tabs>
            <w:spacing w:line="240" w:lineRule="exact"/>
            <w:ind w:right="454"/>
          </w:pPr>
          <w:r w:rsidRPr="18F7E90A">
            <w:rPr>
              <w:rFonts w:eastAsiaTheme="minorEastAsia" w:cstheme="minorBidi"/>
              <w:color w:val="004A96" w:themeColor="accent1"/>
              <w:sz w:val="18"/>
              <w:szCs w:val="18"/>
              <w:u w:val="single"/>
              <w:lang w:val="en-US"/>
            </w:rPr>
            <w:t>lena.koehne@basf.com</w:t>
          </w:r>
        </w:p>
      </w:tc>
      <w:tc>
        <w:tcPr>
          <w:tcW w:w="3194" w:type="dxa"/>
        </w:tcPr>
        <w:p w14:paraId="491FE87C" w14:textId="5548ED04" w:rsidR="009A7862" w:rsidRPr="006F5440" w:rsidRDefault="009A7862" w:rsidP="009A7862">
          <w:pPr>
            <w:rPr>
              <w:rFonts w:eastAsia="Calibri" w:cs="Times New Roman"/>
              <w:color w:val="808080"/>
              <w:sz w:val="18"/>
              <w:szCs w:val="18"/>
              <w:lang w:val="en-US"/>
            </w:rPr>
          </w:pPr>
        </w:p>
      </w:tc>
      <w:tc>
        <w:tcPr>
          <w:tcW w:w="3194" w:type="dxa"/>
        </w:tcPr>
        <w:p w14:paraId="6826C160" w14:textId="77777777" w:rsidR="009A7862" w:rsidRDefault="009A7862" w:rsidP="009A7862">
          <w:pPr>
            <w:tabs>
              <w:tab w:val="left" w:pos="983"/>
            </w:tabs>
            <w:spacing w:line="240" w:lineRule="exact"/>
            <w:ind w:right="454"/>
            <w:rPr>
              <w:rFonts w:eastAsia="Calibri" w:cs="Times New Roman"/>
              <w:color w:val="808080" w:themeColor="background1" w:themeShade="80"/>
              <w:sz w:val="18"/>
              <w:szCs w:val="18"/>
              <w:lang w:val="en-US"/>
            </w:rPr>
          </w:pPr>
          <w:r>
            <w:rPr>
              <w:rFonts w:eastAsia="Calibri" w:cs="Times New Roman"/>
              <w:color w:val="808080" w:themeColor="background1" w:themeShade="80"/>
              <w:sz w:val="18"/>
              <w:szCs w:val="18"/>
              <w:lang w:val="en-US"/>
            </w:rPr>
            <w:t>BASF Coatings GmbH</w:t>
          </w:r>
        </w:p>
        <w:p w14:paraId="31D56208" w14:textId="77777777" w:rsidR="009A7862" w:rsidRPr="006F4993" w:rsidRDefault="009A7862" w:rsidP="009A7862">
          <w:pPr>
            <w:tabs>
              <w:tab w:val="left" w:pos="983"/>
            </w:tabs>
            <w:spacing w:line="240" w:lineRule="exact"/>
            <w:ind w:right="454"/>
            <w:rPr>
              <w:rFonts w:eastAsia="Calibri" w:cs="Times New Roman"/>
              <w:color w:val="808080" w:themeColor="background1" w:themeShade="80"/>
              <w:sz w:val="18"/>
              <w:szCs w:val="18"/>
              <w:lang w:val="en-US"/>
            </w:rPr>
          </w:pPr>
          <w:proofErr w:type="spellStart"/>
          <w:r>
            <w:rPr>
              <w:rFonts w:eastAsia="Calibri" w:cs="Times New Roman"/>
              <w:color w:val="808080" w:themeColor="background1" w:themeShade="80"/>
              <w:sz w:val="18"/>
              <w:szCs w:val="18"/>
              <w:lang w:val="en-US"/>
            </w:rPr>
            <w:t>Glasuritstrasse</w:t>
          </w:r>
          <w:proofErr w:type="spellEnd"/>
          <w:r>
            <w:rPr>
              <w:rFonts w:eastAsia="Calibri" w:cs="Times New Roman"/>
              <w:color w:val="808080" w:themeColor="background1" w:themeShade="80"/>
              <w:sz w:val="18"/>
              <w:szCs w:val="18"/>
              <w:lang w:val="en-US"/>
            </w:rPr>
            <w:t xml:space="preserve"> 1</w:t>
          </w:r>
        </w:p>
        <w:p w14:paraId="621EA4CC" w14:textId="77777777" w:rsidR="009A7862" w:rsidRDefault="009A7862" w:rsidP="009A7862">
          <w:pPr>
            <w:tabs>
              <w:tab w:val="left" w:pos="983"/>
            </w:tabs>
            <w:spacing w:line="240" w:lineRule="exact"/>
            <w:ind w:right="454"/>
            <w:rPr>
              <w:rFonts w:eastAsia="Calibri" w:cs="Times New Roman"/>
              <w:color w:val="808080" w:themeColor="background1" w:themeShade="80"/>
              <w:sz w:val="18"/>
              <w:szCs w:val="18"/>
              <w:lang w:val="en-US"/>
            </w:rPr>
          </w:pPr>
          <w:r>
            <w:rPr>
              <w:rFonts w:eastAsia="Calibri" w:cs="Times New Roman"/>
              <w:color w:val="808080" w:themeColor="background1" w:themeShade="80"/>
              <w:sz w:val="18"/>
              <w:szCs w:val="18"/>
              <w:lang w:val="en-US"/>
            </w:rPr>
            <w:t>48165 Muenster</w:t>
          </w:r>
        </w:p>
        <w:p w14:paraId="1057965D" w14:textId="2A1E5EE1" w:rsidR="009A7862" w:rsidRPr="00D852B3" w:rsidRDefault="00D852B3" w:rsidP="009A7862">
          <w:pPr>
            <w:tabs>
              <w:tab w:val="left" w:pos="983"/>
            </w:tabs>
            <w:spacing w:line="240" w:lineRule="exact"/>
            <w:ind w:right="454"/>
            <w:rPr>
              <w:rStyle w:val="Lienhypertexte"/>
              <w:rFonts w:eastAsia="Calibri" w:cs="Times New Roman"/>
              <w:sz w:val="18"/>
              <w:szCs w:val="18"/>
              <w:lang w:val="en-US"/>
            </w:rPr>
          </w:pPr>
          <w:r>
            <w:rPr>
              <w:rFonts w:eastAsia="Calibri" w:cs="Times New Roman"/>
              <w:color w:val="808080" w:themeColor="background1" w:themeShade="80"/>
              <w:sz w:val="18"/>
              <w:szCs w:val="18"/>
              <w:lang w:val="en-US"/>
            </w:rPr>
            <w:fldChar w:fldCharType="begin"/>
          </w:r>
          <w:r>
            <w:rPr>
              <w:rFonts w:eastAsia="Calibri" w:cs="Times New Roman"/>
              <w:color w:val="808080" w:themeColor="background1" w:themeShade="80"/>
              <w:sz w:val="18"/>
              <w:szCs w:val="18"/>
              <w:lang w:val="en-US"/>
            </w:rPr>
            <w:instrText>HYPERLINK "http://www.basf-coatings.com/"</w:instrText>
          </w:r>
          <w:r>
            <w:rPr>
              <w:rFonts w:eastAsia="Calibri" w:cs="Times New Roman"/>
              <w:color w:val="808080" w:themeColor="background1" w:themeShade="80"/>
              <w:sz w:val="18"/>
              <w:szCs w:val="18"/>
              <w:lang w:val="en-US"/>
            </w:rPr>
          </w:r>
          <w:r>
            <w:rPr>
              <w:rFonts w:eastAsia="Calibri" w:cs="Times New Roman"/>
              <w:color w:val="808080" w:themeColor="background1" w:themeShade="80"/>
              <w:sz w:val="18"/>
              <w:szCs w:val="18"/>
              <w:lang w:val="en-US"/>
            </w:rPr>
            <w:fldChar w:fldCharType="separate"/>
          </w:r>
          <w:r w:rsidR="00A50F26" w:rsidRPr="00D852B3">
            <w:rPr>
              <w:rStyle w:val="Lienhypertexte"/>
              <w:rFonts w:eastAsia="Calibri" w:cs="Times New Roman"/>
              <w:sz w:val="18"/>
              <w:szCs w:val="18"/>
              <w:lang w:val="en-US"/>
            </w:rPr>
            <w:t>http://www.basf-coatings.com</w:t>
          </w:r>
        </w:p>
        <w:p w14:paraId="4CA5026C" w14:textId="120A7664" w:rsidR="00A50F26" w:rsidRPr="006F5440" w:rsidRDefault="00D852B3" w:rsidP="009A7862">
          <w:pPr>
            <w:tabs>
              <w:tab w:val="left" w:pos="983"/>
            </w:tabs>
            <w:spacing w:line="240" w:lineRule="exact"/>
            <w:ind w:right="454"/>
            <w:rPr>
              <w:rFonts w:eastAsia="Calibri" w:cs="Times New Roman"/>
              <w:color w:val="808080" w:themeColor="background1" w:themeShade="80"/>
              <w:sz w:val="18"/>
              <w:szCs w:val="18"/>
              <w:lang w:val="en-US"/>
            </w:rPr>
          </w:pPr>
          <w:r>
            <w:rPr>
              <w:rFonts w:eastAsia="Calibri" w:cs="Times New Roman"/>
              <w:color w:val="808080" w:themeColor="background1" w:themeShade="80"/>
              <w:sz w:val="18"/>
              <w:szCs w:val="18"/>
              <w:lang w:val="en-US"/>
            </w:rPr>
            <w:fldChar w:fldCharType="end"/>
          </w:r>
        </w:p>
      </w:tc>
    </w:tr>
  </w:tbl>
  <w:p w14:paraId="40B8900F" w14:textId="073963BB" w:rsidR="005733E4" w:rsidRPr="009A7862" w:rsidRDefault="005733E4" w:rsidP="009A7862">
    <w:pPr>
      <w:pStyle w:val="Pieddepage"/>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2DFB52" w14:textId="77777777" w:rsidR="00E1709F" w:rsidRDefault="00E1709F" w:rsidP="00B35193">
      <w:r>
        <w:separator/>
      </w:r>
    </w:p>
  </w:footnote>
  <w:footnote w:type="continuationSeparator" w:id="0">
    <w:p w14:paraId="11FB1878" w14:textId="77777777" w:rsidR="00E1709F" w:rsidRDefault="00E1709F" w:rsidP="00B3519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37123E" w14:textId="77777777" w:rsidR="002D5395" w:rsidRDefault="002D5395">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8CDE3C" w14:textId="5B77526B" w:rsidR="005733E4" w:rsidRPr="0094429D" w:rsidRDefault="00A84B6E" w:rsidP="00AA4270">
    <w:pPr>
      <w:pStyle w:val="En-tte"/>
      <w:tabs>
        <w:tab w:val="left" w:pos="7713"/>
      </w:tabs>
      <w:ind w:right="0"/>
      <w:rPr>
        <w:color w:val="808080" w:themeColor="background1" w:themeShade="80"/>
        <w:sz w:val="18"/>
      </w:rPr>
    </w:pPr>
    <w:r>
      <w:rPr>
        <w:color w:val="808080" w:themeColor="background1" w:themeShade="80"/>
        <w:sz w:val="18"/>
      </w:rPr>
      <w:t>Page</w:t>
    </w:r>
    <w:r w:rsidR="000B655C" w:rsidRPr="0094429D">
      <w:rPr>
        <w:color w:val="808080" w:themeColor="background1" w:themeShade="80"/>
        <w:sz w:val="18"/>
      </w:rPr>
      <w:t xml:space="preserve"> </w:t>
    </w:r>
    <w:r w:rsidR="000B655C" w:rsidRPr="0094429D">
      <w:rPr>
        <w:color w:val="808080" w:themeColor="background1" w:themeShade="80"/>
        <w:sz w:val="18"/>
      </w:rPr>
      <w:fldChar w:fldCharType="begin"/>
    </w:r>
    <w:r w:rsidR="000B655C" w:rsidRPr="0094429D">
      <w:rPr>
        <w:color w:val="808080" w:themeColor="background1" w:themeShade="80"/>
        <w:sz w:val="18"/>
      </w:rPr>
      <w:instrText xml:space="preserve"> PAGE  \* Arabic  \* MERGEFORMAT </w:instrText>
    </w:r>
    <w:r w:rsidR="000B655C" w:rsidRPr="0094429D">
      <w:rPr>
        <w:color w:val="808080" w:themeColor="background1" w:themeShade="80"/>
        <w:sz w:val="18"/>
      </w:rPr>
      <w:fldChar w:fldCharType="separate"/>
    </w:r>
    <w:r w:rsidR="00E6592C">
      <w:rPr>
        <w:noProof/>
        <w:color w:val="808080" w:themeColor="background1" w:themeShade="80"/>
        <w:sz w:val="18"/>
      </w:rPr>
      <w:t>2</w:t>
    </w:r>
    <w:r w:rsidR="000B655C" w:rsidRPr="0094429D">
      <w:rPr>
        <w:color w:val="808080" w:themeColor="background1" w:themeShade="80"/>
        <w:sz w:val="18"/>
      </w:rPr>
      <w:fldChar w:fldCharType="end"/>
    </w:r>
    <w:r w:rsidR="000B655C" w:rsidRPr="0094429D">
      <w:rPr>
        <w:color w:val="808080" w:themeColor="background1" w:themeShade="80"/>
        <w:sz w:val="18"/>
      </w:rPr>
      <w:tab/>
    </w:r>
    <w:r w:rsidR="00AA4270" w:rsidRPr="0094429D">
      <w:rPr>
        <w:color w:val="808080" w:themeColor="background1" w:themeShade="80"/>
        <w:sz w:val="18"/>
      </w:rPr>
      <w:tab/>
    </w:r>
  </w:p>
  <w:p w14:paraId="27366EE0" w14:textId="77777777" w:rsidR="002A1254" w:rsidRPr="00BD03DA" w:rsidRDefault="002A1254" w:rsidP="004F6C74">
    <w:pPr>
      <w:pStyle w:val="En-tte"/>
      <w:tabs>
        <w:tab w:val="left" w:pos="7713"/>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F0DEBC" w14:textId="428FD5BE" w:rsidR="005733E4" w:rsidRDefault="00436A30" w:rsidP="002A1254">
    <w:pPr>
      <w:pStyle w:val="En-tte"/>
      <w:spacing w:after="480"/>
      <w:ind w:right="0"/>
    </w:pPr>
    <w:r>
      <w:rPr>
        <w:noProof/>
        <w:lang w:val="en-US"/>
      </w:rPr>
      <w:drawing>
        <wp:anchor distT="0" distB="0" distL="114300" distR="114300" simplePos="0" relativeHeight="251661312" behindDoc="0" locked="0" layoutInCell="1" allowOverlap="1" wp14:anchorId="2307AAB9" wp14:editId="454E8F21">
          <wp:simplePos x="0" y="0"/>
          <wp:positionH relativeFrom="column">
            <wp:posOffset>-635</wp:posOffset>
          </wp:positionH>
          <wp:positionV relativeFrom="paragraph">
            <wp:posOffset>171450</wp:posOffset>
          </wp:positionV>
          <wp:extent cx="6494611" cy="1320800"/>
          <wp:effectExtent l="0" t="0" r="1905" b="0"/>
          <wp:wrapNone/>
          <wp:docPr id="1831045896" name="Grafik 1" descr="Ein Bild, das Text, Screenshot, Schrift, Electric Blue (Farbe) enthä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1045896" name="Grafik 1" descr="Ein Bild, das Text, Screenshot, Schrift, Electric Blue (Farbe) enthält."/>
                  <pic:cNvPicPr/>
                </pic:nvPicPr>
                <pic:blipFill>
                  <a:blip r:embed="rId1">
                    <a:extLst>
                      <a:ext uri="{28A0092B-C50C-407E-A947-70E740481C1C}">
                        <a14:useLocalDpi xmlns:a14="http://schemas.microsoft.com/office/drawing/2010/main" val="0"/>
                      </a:ext>
                    </a:extLst>
                  </a:blip>
                  <a:stretch>
                    <a:fillRect/>
                  </a:stretch>
                </pic:blipFill>
                <pic:spPr>
                  <a:xfrm>
                    <a:off x="0" y="0"/>
                    <a:ext cx="6494611" cy="1320800"/>
                  </a:xfrm>
                  <a:prstGeom prst="rect">
                    <a:avLst/>
                  </a:prstGeom>
                </pic:spPr>
              </pic:pic>
            </a:graphicData>
          </a:graphic>
          <wp14:sizeRelH relativeFrom="margin">
            <wp14:pctWidth>0</wp14:pctWidth>
          </wp14:sizeRelH>
          <wp14:sizeRelV relativeFrom="margin">
            <wp14:pctHeight>0</wp14:pctHeight>
          </wp14:sizeRelV>
        </wp:anchor>
      </w:drawing>
    </w:r>
    <w:r w:rsidR="007A37F5">
      <w:rPr>
        <w:noProof/>
        <w:lang w:val="en-US"/>
      </w:rPr>
      <w:drawing>
        <wp:anchor distT="0" distB="0" distL="114300" distR="114300" simplePos="0" relativeHeight="251657216" behindDoc="0" locked="0" layoutInCell="1" allowOverlap="1" wp14:anchorId="12244976" wp14:editId="53817932">
          <wp:simplePos x="0" y="0"/>
          <wp:positionH relativeFrom="column">
            <wp:posOffset>7543871</wp:posOffset>
          </wp:positionH>
          <wp:positionV relativeFrom="paragraph">
            <wp:posOffset>417160</wp:posOffset>
          </wp:positionV>
          <wp:extent cx="1603230" cy="580526"/>
          <wp:effectExtent l="0" t="0" r="0" b="0"/>
          <wp:wrapNone/>
          <wp:docPr id="12"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fik 12"/>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1603230" cy="580526"/>
                  </a:xfrm>
                  <a:prstGeom prst="rect">
                    <a:avLst/>
                  </a:prstGeom>
                </pic:spPr>
              </pic:pic>
            </a:graphicData>
          </a:graphic>
        </wp:anchor>
      </w:drawing>
    </w:r>
    <w:r w:rsidR="00CF7AAE">
      <w:rPr>
        <w:noProof/>
        <w:lang w:val="en-US"/>
      </w:rPr>
      <w:drawing>
        <wp:anchor distT="0" distB="0" distL="114300" distR="114300" simplePos="0" relativeHeight="251655168" behindDoc="0" locked="0" layoutInCell="1" allowOverlap="1" wp14:anchorId="2D3C228B" wp14:editId="2913552C">
          <wp:simplePos x="0" y="0"/>
          <wp:positionH relativeFrom="column">
            <wp:posOffset>265189</wp:posOffset>
          </wp:positionH>
          <wp:positionV relativeFrom="paragraph">
            <wp:posOffset>407670</wp:posOffset>
          </wp:positionV>
          <wp:extent cx="1614286" cy="583289"/>
          <wp:effectExtent l="0" t="0" r="5080" b="7620"/>
          <wp:wrapNone/>
          <wp:docPr id="999029" name="Grafik 9990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9029" name="Logo_white.png"/>
                  <pic:cNvPicPr/>
                </pic:nvPicPr>
                <pic:blipFill>
                  <a:blip r:embed="rId3">
                    <a:extLst>
                      <a:ext uri="{28A0092B-C50C-407E-A947-70E740481C1C}">
                        <a14:useLocalDpi xmlns:a14="http://schemas.microsoft.com/office/drawing/2010/main" val="0"/>
                      </a:ext>
                    </a:extLst>
                  </a:blip>
                  <a:stretch>
                    <a:fillRect/>
                  </a:stretch>
                </pic:blipFill>
                <pic:spPr>
                  <a:xfrm>
                    <a:off x="0" y="0"/>
                    <a:ext cx="1614286" cy="583289"/>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DA4130"/>
    <w:multiLevelType w:val="hybridMultilevel"/>
    <w:tmpl w:val="9BB85AA8"/>
    <w:lvl w:ilvl="0" w:tplc="8416CC7E">
      <w:start w:val="1"/>
      <w:numFmt w:val="bullet"/>
      <w:lvlText w:val=""/>
      <w:lvlJc w:val="left"/>
      <w:pPr>
        <w:ind w:left="360" w:hanging="360"/>
      </w:pPr>
      <w:rPr>
        <w:rFonts w:ascii="Wingdings" w:hAnsi="Wingdings" w:hint="default"/>
        <w:b w:val="0"/>
        <w:i w:val="0"/>
        <w:caps w:val="0"/>
        <w:strike w:val="0"/>
        <w:dstrike w:val="0"/>
        <w:vanish w:val="0"/>
        <w:color w:val="F39500"/>
        <w:sz w:val="20"/>
        <w:vertAlign w:val="baseline"/>
      </w:rPr>
    </w:lvl>
    <w:lvl w:ilvl="1" w:tplc="04070003" w:tentative="1">
      <w:start w:val="1"/>
      <w:numFmt w:val="bullet"/>
      <w:lvlText w:val="o"/>
      <w:lvlJc w:val="left"/>
      <w:pPr>
        <w:tabs>
          <w:tab w:val="num" w:pos="1080"/>
        </w:tabs>
        <w:ind w:left="1080" w:hanging="360"/>
      </w:pPr>
      <w:rPr>
        <w:rFonts w:ascii="Courier New" w:hAnsi="Courier New" w:cs="Courier New"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cs="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cs="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1E165B78"/>
    <w:multiLevelType w:val="hybridMultilevel"/>
    <w:tmpl w:val="AC20EDA0"/>
    <w:lvl w:ilvl="0" w:tplc="E5BA9A92">
      <w:start w:val="1"/>
      <w:numFmt w:val="bullet"/>
      <w:lvlText w:val=""/>
      <w:lvlJc w:val="left"/>
      <w:pPr>
        <w:tabs>
          <w:tab w:val="num" w:pos="-76"/>
        </w:tabs>
        <w:ind w:left="360" w:hanging="360"/>
      </w:pPr>
      <w:rPr>
        <w:rFonts w:ascii="Wingdings" w:hAnsi="Wingdings" w:cs="Wingdings" w:hint="default"/>
        <w:bCs w:val="0"/>
        <w:iCs w:val="0"/>
        <w:color w:val="004A96" w:themeColor="accent1"/>
        <w:szCs w:val="20"/>
      </w:rPr>
    </w:lvl>
    <w:lvl w:ilvl="1" w:tplc="04070003" w:tentative="1">
      <w:start w:val="1"/>
      <w:numFmt w:val="bullet"/>
      <w:lvlText w:val="o"/>
      <w:lvlJc w:val="left"/>
      <w:pPr>
        <w:tabs>
          <w:tab w:val="num" w:pos="1080"/>
        </w:tabs>
        <w:ind w:left="1080" w:hanging="360"/>
      </w:pPr>
      <w:rPr>
        <w:rFonts w:ascii="Courier New" w:hAnsi="Courier New" w:cs="Courier New"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cs="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cs="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33D23F30"/>
    <w:multiLevelType w:val="hybridMultilevel"/>
    <w:tmpl w:val="C35879C4"/>
    <w:lvl w:ilvl="0" w:tplc="039AA9A8">
      <w:start w:val="1"/>
      <w:numFmt w:val="bullet"/>
      <w:lvlText w:val=""/>
      <w:lvlJc w:val="left"/>
      <w:pPr>
        <w:tabs>
          <w:tab w:val="num" w:pos="-76"/>
        </w:tabs>
        <w:ind w:left="360" w:hanging="360"/>
      </w:pPr>
      <w:rPr>
        <w:rFonts w:ascii="Wingdings" w:hAnsi="Wingdings" w:cs="Wingdings" w:hint="default"/>
        <w:bCs w:val="0"/>
        <w:iCs w:val="0"/>
        <w:color w:val="F39500"/>
        <w:szCs w:val="20"/>
      </w:rPr>
    </w:lvl>
    <w:lvl w:ilvl="1" w:tplc="04070003" w:tentative="1">
      <w:start w:val="1"/>
      <w:numFmt w:val="bullet"/>
      <w:lvlText w:val="o"/>
      <w:lvlJc w:val="left"/>
      <w:pPr>
        <w:tabs>
          <w:tab w:val="num" w:pos="1080"/>
        </w:tabs>
        <w:ind w:left="1080" w:hanging="360"/>
      </w:pPr>
      <w:rPr>
        <w:rFonts w:ascii="Courier New" w:hAnsi="Courier New" w:cs="Courier New"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cs="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cs="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360C1698"/>
    <w:multiLevelType w:val="hybridMultilevel"/>
    <w:tmpl w:val="B1D6FBB2"/>
    <w:lvl w:ilvl="0" w:tplc="723A962A">
      <w:start w:val="1"/>
      <w:numFmt w:val="bullet"/>
      <w:lvlText w:val=""/>
      <w:lvlJc w:val="left"/>
      <w:pPr>
        <w:ind w:left="360" w:hanging="360"/>
      </w:pPr>
      <w:rPr>
        <w:rFonts w:ascii="Wingdings" w:hAnsi="Wingdings" w:cs="Wingdings" w:hint="default"/>
        <w:b w:val="0"/>
        <w:bCs w:val="0"/>
        <w:i w:val="0"/>
        <w:iCs w:val="0"/>
        <w:caps w:val="0"/>
        <w:strike w:val="0"/>
        <w:dstrike w:val="0"/>
        <w:vanish w:val="0"/>
        <w:color w:val="004A96" w:themeColor="accent1"/>
        <w:sz w:val="20"/>
        <w:szCs w:val="20"/>
        <w:vertAlign w:val="baseline"/>
      </w:rPr>
    </w:lvl>
    <w:lvl w:ilvl="1" w:tplc="FFFFFFFF" w:tentative="1">
      <w:start w:val="1"/>
      <w:numFmt w:val="bullet"/>
      <w:lvlText w:val="o"/>
      <w:lvlJc w:val="left"/>
      <w:pPr>
        <w:tabs>
          <w:tab w:val="num" w:pos="1080"/>
        </w:tabs>
        <w:ind w:left="1080" w:hanging="360"/>
      </w:pPr>
      <w:rPr>
        <w:rFonts w:ascii="Courier New" w:hAnsi="Courier New" w:cs="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4" w15:restartNumberingAfterBreak="0">
    <w:nsid w:val="4FB50B60"/>
    <w:multiLevelType w:val="hybridMultilevel"/>
    <w:tmpl w:val="0AF6D77A"/>
    <w:lvl w:ilvl="0" w:tplc="91BEC720">
      <w:start w:val="1"/>
      <w:numFmt w:val="bullet"/>
      <w:lvlText w:val=""/>
      <w:lvlJc w:val="left"/>
      <w:pPr>
        <w:tabs>
          <w:tab w:val="num" w:pos="-76"/>
        </w:tabs>
        <w:ind w:left="360" w:hanging="360"/>
      </w:pPr>
      <w:rPr>
        <w:rFonts w:ascii="Wingdings" w:hAnsi="Wingdings" w:cs="Wingdings" w:hint="default"/>
        <w:bCs w:val="0"/>
        <w:iCs w:val="0"/>
        <w:color w:val="C50022"/>
        <w:szCs w:val="20"/>
      </w:rPr>
    </w:lvl>
    <w:lvl w:ilvl="1" w:tplc="04070003" w:tentative="1">
      <w:start w:val="1"/>
      <w:numFmt w:val="bullet"/>
      <w:lvlText w:val="o"/>
      <w:lvlJc w:val="left"/>
      <w:pPr>
        <w:tabs>
          <w:tab w:val="num" w:pos="1080"/>
        </w:tabs>
        <w:ind w:left="1080" w:hanging="360"/>
      </w:pPr>
      <w:rPr>
        <w:rFonts w:ascii="Courier New" w:hAnsi="Courier New" w:cs="Courier New"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cs="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cs="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num w:numId="1" w16cid:durableId="525144993">
    <w:abstractNumId w:val="0"/>
  </w:num>
  <w:num w:numId="2" w16cid:durableId="2039508446">
    <w:abstractNumId w:val="2"/>
  </w:num>
  <w:num w:numId="3" w16cid:durableId="981542720">
    <w:abstractNumId w:val="4"/>
  </w:num>
  <w:num w:numId="4" w16cid:durableId="2136867132">
    <w:abstractNumId w:val="1"/>
  </w:num>
  <w:num w:numId="5" w16cid:durableId="1813255102">
    <w:abstractNumId w:val="0"/>
  </w:num>
  <w:num w:numId="6" w16cid:durableId="1997608045">
    <w:abstractNumId w:val="3"/>
  </w:num>
  <w:num w:numId="7" w16cid:durableId="11593497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261E"/>
    <w:rsid w:val="00001143"/>
    <w:rsid w:val="00003A73"/>
    <w:rsid w:val="00004528"/>
    <w:rsid w:val="000046DB"/>
    <w:rsid w:val="000075D7"/>
    <w:rsid w:val="00007886"/>
    <w:rsid w:val="00013A84"/>
    <w:rsid w:val="00020742"/>
    <w:rsid w:val="0002152D"/>
    <w:rsid w:val="00022488"/>
    <w:rsid w:val="00023AE2"/>
    <w:rsid w:val="000240FB"/>
    <w:rsid w:val="00024801"/>
    <w:rsid w:val="00027689"/>
    <w:rsid w:val="000305B1"/>
    <w:rsid w:val="00032981"/>
    <w:rsid w:val="00035463"/>
    <w:rsid w:val="000368CC"/>
    <w:rsid w:val="0004243A"/>
    <w:rsid w:val="00042854"/>
    <w:rsid w:val="0004412C"/>
    <w:rsid w:val="00046B98"/>
    <w:rsid w:val="00046D6E"/>
    <w:rsid w:val="0004726F"/>
    <w:rsid w:val="000500AA"/>
    <w:rsid w:val="00050A79"/>
    <w:rsid w:val="00052125"/>
    <w:rsid w:val="0005283D"/>
    <w:rsid w:val="00052E12"/>
    <w:rsid w:val="00055AAE"/>
    <w:rsid w:val="00057CCF"/>
    <w:rsid w:val="00057D53"/>
    <w:rsid w:val="00060907"/>
    <w:rsid w:val="000651B4"/>
    <w:rsid w:val="00070489"/>
    <w:rsid w:val="00074600"/>
    <w:rsid w:val="00077745"/>
    <w:rsid w:val="00080EC4"/>
    <w:rsid w:val="000811EE"/>
    <w:rsid w:val="00083820"/>
    <w:rsid w:val="00084E40"/>
    <w:rsid w:val="00086168"/>
    <w:rsid w:val="00086304"/>
    <w:rsid w:val="00087014"/>
    <w:rsid w:val="00087700"/>
    <w:rsid w:val="000937F4"/>
    <w:rsid w:val="000A51E8"/>
    <w:rsid w:val="000B655C"/>
    <w:rsid w:val="000B6C4D"/>
    <w:rsid w:val="000C010A"/>
    <w:rsid w:val="000C366A"/>
    <w:rsid w:val="000C51AB"/>
    <w:rsid w:val="000D11E8"/>
    <w:rsid w:val="000D1E0A"/>
    <w:rsid w:val="000D2406"/>
    <w:rsid w:val="000D3123"/>
    <w:rsid w:val="000D427C"/>
    <w:rsid w:val="000D4720"/>
    <w:rsid w:val="000D6932"/>
    <w:rsid w:val="000D7250"/>
    <w:rsid w:val="000E1919"/>
    <w:rsid w:val="000F063E"/>
    <w:rsid w:val="000F147D"/>
    <w:rsid w:val="000F3964"/>
    <w:rsid w:val="000F6739"/>
    <w:rsid w:val="000F71FE"/>
    <w:rsid w:val="001002E2"/>
    <w:rsid w:val="00104617"/>
    <w:rsid w:val="001057BB"/>
    <w:rsid w:val="001121BB"/>
    <w:rsid w:val="00114119"/>
    <w:rsid w:val="00117354"/>
    <w:rsid w:val="00122041"/>
    <w:rsid w:val="0012261E"/>
    <w:rsid w:val="00127EEB"/>
    <w:rsid w:val="0013151E"/>
    <w:rsid w:val="0013286C"/>
    <w:rsid w:val="00136CFC"/>
    <w:rsid w:val="001374C2"/>
    <w:rsid w:val="0014124B"/>
    <w:rsid w:val="001422FE"/>
    <w:rsid w:val="001530E8"/>
    <w:rsid w:val="001602E2"/>
    <w:rsid w:val="00160B09"/>
    <w:rsid w:val="001620DB"/>
    <w:rsid w:val="00165147"/>
    <w:rsid w:val="001678A4"/>
    <w:rsid w:val="00170562"/>
    <w:rsid w:val="00172B07"/>
    <w:rsid w:val="0017407C"/>
    <w:rsid w:val="001753E6"/>
    <w:rsid w:val="00176DBA"/>
    <w:rsid w:val="00186A9A"/>
    <w:rsid w:val="00186FF2"/>
    <w:rsid w:val="00197DCE"/>
    <w:rsid w:val="001A1B91"/>
    <w:rsid w:val="001A4F9B"/>
    <w:rsid w:val="001A79CA"/>
    <w:rsid w:val="001B293D"/>
    <w:rsid w:val="001B3F17"/>
    <w:rsid w:val="001B4C55"/>
    <w:rsid w:val="001B5B13"/>
    <w:rsid w:val="001B604F"/>
    <w:rsid w:val="001B6765"/>
    <w:rsid w:val="001B6BAB"/>
    <w:rsid w:val="001C16BB"/>
    <w:rsid w:val="001C249B"/>
    <w:rsid w:val="001C460A"/>
    <w:rsid w:val="001C5B7F"/>
    <w:rsid w:val="001D3CC4"/>
    <w:rsid w:val="001D42C3"/>
    <w:rsid w:val="001D753D"/>
    <w:rsid w:val="001E1E24"/>
    <w:rsid w:val="001E2072"/>
    <w:rsid w:val="001E4A0D"/>
    <w:rsid w:val="001E669A"/>
    <w:rsid w:val="001F07BC"/>
    <w:rsid w:val="001F276F"/>
    <w:rsid w:val="001F4592"/>
    <w:rsid w:val="001F50AF"/>
    <w:rsid w:val="001F6906"/>
    <w:rsid w:val="001F6B67"/>
    <w:rsid w:val="001F7D24"/>
    <w:rsid w:val="00200BC9"/>
    <w:rsid w:val="00207416"/>
    <w:rsid w:val="0021316E"/>
    <w:rsid w:val="0021440B"/>
    <w:rsid w:val="00216F56"/>
    <w:rsid w:val="00217886"/>
    <w:rsid w:val="00224288"/>
    <w:rsid w:val="0022699A"/>
    <w:rsid w:val="00234E35"/>
    <w:rsid w:val="00236029"/>
    <w:rsid w:val="002361AD"/>
    <w:rsid w:val="0024026D"/>
    <w:rsid w:val="00250E8D"/>
    <w:rsid w:val="00257CA3"/>
    <w:rsid w:val="002624D8"/>
    <w:rsid w:val="0026383B"/>
    <w:rsid w:val="00265034"/>
    <w:rsid w:val="00265BCC"/>
    <w:rsid w:val="002665E9"/>
    <w:rsid w:val="00270607"/>
    <w:rsid w:val="00272301"/>
    <w:rsid w:val="00273B05"/>
    <w:rsid w:val="002776F0"/>
    <w:rsid w:val="002804DF"/>
    <w:rsid w:val="00280C4D"/>
    <w:rsid w:val="0028287F"/>
    <w:rsid w:val="00290782"/>
    <w:rsid w:val="00291D2C"/>
    <w:rsid w:val="002938AA"/>
    <w:rsid w:val="002A1254"/>
    <w:rsid w:val="002A1C62"/>
    <w:rsid w:val="002A402B"/>
    <w:rsid w:val="002A6066"/>
    <w:rsid w:val="002A6EB6"/>
    <w:rsid w:val="002C2646"/>
    <w:rsid w:val="002C3F96"/>
    <w:rsid w:val="002C4A41"/>
    <w:rsid w:val="002D1A4A"/>
    <w:rsid w:val="002D3593"/>
    <w:rsid w:val="002D5395"/>
    <w:rsid w:val="002D5713"/>
    <w:rsid w:val="002D5D44"/>
    <w:rsid w:val="002D5F01"/>
    <w:rsid w:val="002D6627"/>
    <w:rsid w:val="002D7D57"/>
    <w:rsid w:val="002F49C7"/>
    <w:rsid w:val="00301F35"/>
    <w:rsid w:val="003027C9"/>
    <w:rsid w:val="00302E4C"/>
    <w:rsid w:val="00303C86"/>
    <w:rsid w:val="003060DA"/>
    <w:rsid w:val="00310D59"/>
    <w:rsid w:val="003130EA"/>
    <w:rsid w:val="00313D06"/>
    <w:rsid w:val="00314B6C"/>
    <w:rsid w:val="003168F0"/>
    <w:rsid w:val="00321482"/>
    <w:rsid w:val="00324210"/>
    <w:rsid w:val="00327C43"/>
    <w:rsid w:val="003355ED"/>
    <w:rsid w:val="00335757"/>
    <w:rsid w:val="003363D9"/>
    <w:rsid w:val="00336AB7"/>
    <w:rsid w:val="003416B4"/>
    <w:rsid w:val="00344CAA"/>
    <w:rsid w:val="00345DB7"/>
    <w:rsid w:val="00350A76"/>
    <w:rsid w:val="00354A07"/>
    <w:rsid w:val="0036022C"/>
    <w:rsid w:val="00362B32"/>
    <w:rsid w:val="0036330B"/>
    <w:rsid w:val="00364ADF"/>
    <w:rsid w:val="003752B4"/>
    <w:rsid w:val="003818C0"/>
    <w:rsid w:val="00382FB3"/>
    <w:rsid w:val="00383296"/>
    <w:rsid w:val="00383FA7"/>
    <w:rsid w:val="00385DFE"/>
    <w:rsid w:val="003861BB"/>
    <w:rsid w:val="0038683A"/>
    <w:rsid w:val="00386A39"/>
    <w:rsid w:val="003924A0"/>
    <w:rsid w:val="00396AD6"/>
    <w:rsid w:val="00396F83"/>
    <w:rsid w:val="00397A7C"/>
    <w:rsid w:val="003A1097"/>
    <w:rsid w:val="003A31F0"/>
    <w:rsid w:val="003A5372"/>
    <w:rsid w:val="003B22C4"/>
    <w:rsid w:val="003C11C6"/>
    <w:rsid w:val="003C1E5E"/>
    <w:rsid w:val="003C2A6B"/>
    <w:rsid w:val="003C47AB"/>
    <w:rsid w:val="003C6B48"/>
    <w:rsid w:val="003C6E01"/>
    <w:rsid w:val="003D0A7F"/>
    <w:rsid w:val="003D1315"/>
    <w:rsid w:val="003D4234"/>
    <w:rsid w:val="003D44E4"/>
    <w:rsid w:val="003D4DCC"/>
    <w:rsid w:val="003E003F"/>
    <w:rsid w:val="003E32EF"/>
    <w:rsid w:val="003F10C6"/>
    <w:rsid w:val="003F15C8"/>
    <w:rsid w:val="003F20B1"/>
    <w:rsid w:val="003F2BD6"/>
    <w:rsid w:val="003F4A3B"/>
    <w:rsid w:val="003F5CB6"/>
    <w:rsid w:val="003F5E52"/>
    <w:rsid w:val="004019AE"/>
    <w:rsid w:val="0040390D"/>
    <w:rsid w:val="0040536D"/>
    <w:rsid w:val="00412773"/>
    <w:rsid w:val="00413F1D"/>
    <w:rsid w:val="00415BD0"/>
    <w:rsid w:val="004178E7"/>
    <w:rsid w:val="00420222"/>
    <w:rsid w:val="004221A0"/>
    <w:rsid w:val="004228EB"/>
    <w:rsid w:val="0042444A"/>
    <w:rsid w:val="00430018"/>
    <w:rsid w:val="00430704"/>
    <w:rsid w:val="00430998"/>
    <w:rsid w:val="0043113E"/>
    <w:rsid w:val="004312D1"/>
    <w:rsid w:val="004320B7"/>
    <w:rsid w:val="004332E2"/>
    <w:rsid w:val="0043527D"/>
    <w:rsid w:val="00436A30"/>
    <w:rsid w:val="00443A71"/>
    <w:rsid w:val="0044522F"/>
    <w:rsid w:val="004461A5"/>
    <w:rsid w:val="0045381B"/>
    <w:rsid w:val="004540CB"/>
    <w:rsid w:val="00454F88"/>
    <w:rsid w:val="00456621"/>
    <w:rsid w:val="00461F24"/>
    <w:rsid w:val="004620DB"/>
    <w:rsid w:val="00464D9A"/>
    <w:rsid w:val="004661CE"/>
    <w:rsid w:val="00472D5E"/>
    <w:rsid w:val="00477574"/>
    <w:rsid w:val="0048145D"/>
    <w:rsid w:val="00481681"/>
    <w:rsid w:val="00485A5D"/>
    <w:rsid w:val="00486064"/>
    <w:rsid w:val="00486D8E"/>
    <w:rsid w:val="00490002"/>
    <w:rsid w:val="0049384C"/>
    <w:rsid w:val="0049447D"/>
    <w:rsid w:val="00494E41"/>
    <w:rsid w:val="004A037B"/>
    <w:rsid w:val="004A0F14"/>
    <w:rsid w:val="004A567E"/>
    <w:rsid w:val="004B3FA2"/>
    <w:rsid w:val="004B434F"/>
    <w:rsid w:val="004B7578"/>
    <w:rsid w:val="004C0837"/>
    <w:rsid w:val="004C3561"/>
    <w:rsid w:val="004C36FC"/>
    <w:rsid w:val="004C3E7F"/>
    <w:rsid w:val="004C535C"/>
    <w:rsid w:val="004D1A47"/>
    <w:rsid w:val="004D43FB"/>
    <w:rsid w:val="004D487C"/>
    <w:rsid w:val="004D5229"/>
    <w:rsid w:val="004D5785"/>
    <w:rsid w:val="004D77C9"/>
    <w:rsid w:val="004E2949"/>
    <w:rsid w:val="004E4A8F"/>
    <w:rsid w:val="004E6634"/>
    <w:rsid w:val="004F6C74"/>
    <w:rsid w:val="0050549B"/>
    <w:rsid w:val="00512C66"/>
    <w:rsid w:val="005131E4"/>
    <w:rsid w:val="005156E2"/>
    <w:rsid w:val="005163F4"/>
    <w:rsid w:val="005171C3"/>
    <w:rsid w:val="0051765E"/>
    <w:rsid w:val="00523A17"/>
    <w:rsid w:val="00533731"/>
    <w:rsid w:val="00533C21"/>
    <w:rsid w:val="00535A04"/>
    <w:rsid w:val="00536208"/>
    <w:rsid w:val="005425EF"/>
    <w:rsid w:val="00542B59"/>
    <w:rsid w:val="00542F59"/>
    <w:rsid w:val="00545E68"/>
    <w:rsid w:val="00546622"/>
    <w:rsid w:val="00546ECE"/>
    <w:rsid w:val="0055542E"/>
    <w:rsid w:val="00555920"/>
    <w:rsid w:val="005576F7"/>
    <w:rsid w:val="00564BF0"/>
    <w:rsid w:val="00571073"/>
    <w:rsid w:val="005714EA"/>
    <w:rsid w:val="00573385"/>
    <w:rsid w:val="005733E4"/>
    <w:rsid w:val="00573E8D"/>
    <w:rsid w:val="0057548A"/>
    <w:rsid w:val="005770B6"/>
    <w:rsid w:val="0058218F"/>
    <w:rsid w:val="005831D3"/>
    <w:rsid w:val="0058432E"/>
    <w:rsid w:val="00584B92"/>
    <w:rsid w:val="005949AA"/>
    <w:rsid w:val="00594DAE"/>
    <w:rsid w:val="00595270"/>
    <w:rsid w:val="005963B6"/>
    <w:rsid w:val="005974CE"/>
    <w:rsid w:val="005A0226"/>
    <w:rsid w:val="005A0EA5"/>
    <w:rsid w:val="005A3354"/>
    <w:rsid w:val="005A4876"/>
    <w:rsid w:val="005A7E8C"/>
    <w:rsid w:val="005B0BAB"/>
    <w:rsid w:val="005B4E1D"/>
    <w:rsid w:val="005B647F"/>
    <w:rsid w:val="005B71A8"/>
    <w:rsid w:val="005B7269"/>
    <w:rsid w:val="005C0A27"/>
    <w:rsid w:val="005C285A"/>
    <w:rsid w:val="005C2A2C"/>
    <w:rsid w:val="005C2AB3"/>
    <w:rsid w:val="005C3A3E"/>
    <w:rsid w:val="005C4D4C"/>
    <w:rsid w:val="005C5BE4"/>
    <w:rsid w:val="005C5C1C"/>
    <w:rsid w:val="005D01D2"/>
    <w:rsid w:val="005D23A0"/>
    <w:rsid w:val="005D4FF4"/>
    <w:rsid w:val="005D7D23"/>
    <w:rsid w:val="005E15C9"/>
    <w:rsid w:val="005E7835"/>
    <w:rsid w:val="005F130D"/>
    <w:rsid w:val="005F7942"/>
    <w:rsid w:val="005F7FA4"/>
    <w:rsid w:val="006037B1"/>
    <w:rsid w:val="0061175E"/>
    <w:rsid w:val="00611D90"/>
    <w:rsid w:val="006148C7"/>
    <w:rsid w:val="00615EEA"/>
    <w:rsid w:val="00616D42"/>
    <w:rsid w:val="0061751D"/>
    <w:rsid w:val="006176C5"/>
    <w:rsid w:val="00620921"/>
    <w:rsid w:val="00623C5D"/>
    <w:rsid w:val="00624518"/>
    <w:rsid w:val="00625529"/>
    <w:rsid w:val="00625780"/>
    <w:rsid w:val="00625802"/>
    <w:rsid w:val="00645965"/>
    <w:rsid w:val="00650A34"/>
    <w:rsid w:val="00650A71"/>
    <w:rsid w:val="00651E2A"/>
    <w:rsid w:val="00652EB8"/>
    <w:rsid w:val="00655E8A"/>
    <w:rsid w:val="0065651C"/>
    <w:rsid w:val="00660152"/>
    <w:rsid w:val="00660DC7"/>
    <w:rsid w:val="00663804"/>
    <w:rsid w:val="00663C78"/>
    <w:rsid w:val="00664216"/>
    <w:rsid w:val="006723CB"/>
    <w:rsid w:val="006762EC"/>
    <w:rsid w:val="00682800"/>
    <w:rsid w:val="0068616B"/>
    <w:rsid w:val="00687824"/>
    <w:rsid w:val="0069078E"/>
    <w:rsid w:val="006918DC"/>
    <w:rsid w:val="00692694"/>
    <w:rsid w:val="00694B51"/>
    <w:rsid w:val="00694CD7"/>
    <w:rsid w:val="00697011"/>
    <w:rsid w:val="0069752C"/>
    <w:rsid w:val="006A2240"/>
    <w:rsid w:val="006A34E9"/>
    <w:rsid w:val="006B17E6"/>
    <w:rsid w:val="006B268E"/>
    <w:rsid w:val="006B3416"/>
    <w:rsid w:val="006B409F"/>
    <w:rsid w:val="006B6093"/>
    <w:rsid w:val="006C169E"/>
    <w:rsid w:val="006C1F8B"/>
    <w:rsid w:val="006C4918"/>
    <w:rsid w:val="006C55EE"/>
    <w:rsid w:val="006C588B"/>
    <w:rsid w:val="006C7F45"/>
    <w:rsid w:val="006D00CE"/>
    <w:rsid w:val="006D22EF"/>
    <w:rsid w:val="006D279B"/>
    <w:rsid w:val="006D6407"/>
    <w:rsid w:val="006E0BF7"/>
    <w:rsid w:val="006E1CEF"/>
    <w:rsid w:val="006E5365"/>
    <w:rsid w:val="006E78FF"/>
    <w:rsid w:val="006F162F"/>
    <w:rsid w:val="006F4993"/>
    <w:rsid w:val="006F5440"/>
    <w:rsid w:val="006F595F"/>
    <w:rsid w:val="006F6F6B"/>
    <w:rsid w:val="006F7A2C"/>
    <w:rsid w:val="00703530"/>
    <w:rsid w:val="00704555"/>
    <w:rsid w:val="00705A86"/>
    <w:rsid w:val="007068F7"/>
    <w:rsid w:val="0071434C"/>
    <w:rsid w:val="00716BA6"/>
    <w:rsid w:val="00721AE4"/>
    <w:rsid w:val="007233C1"/>
    <w:rsid w:val="007238DA"/>
    <w:rsid w:val="007245A8"/>
    <w:rsid w:val="007265EC"/>
    <w:rsid w:val="007332F0"/>
    <w:rsid w:val="007358F2"/>
    <w:rsid w:val="00736E81"/>
    <w:rsid w:val="00745283"/>
    <w:rsid w:val="0075477D"/>
    <w:rsid w:val="00755753"/>
    <w:rsid w:val="00755B5D"/>
    <w:rsid w:val="007572B0"/>
    <w:rsid w:val="00757386"/>
    <w:rsid w:val="007579D9"/>
    <w:rsid w:val="00765CD2"/>
    <w:rsid w:val="00767743"/>
    <w:rsid w:val="00770B00"/>
    <w:rsid w:val="007718D1"/>
    <w:rsid w:val="0077511D"/>
    <w:rsid w:val="00776A6E"/>
    <w:rsid w:val="0077753F"/>
    <w:rsid w:val="00777699"/>
    <w:rsid w:val="007843E1"/>
    <w:rsid w:val="00785F24"/>
    <w:rsid w:val="00792C8A"/>
    <w:rsid w:val="00793B6C"/>
    <w:rsid w:val="00796A1E"/>
    <w:rsid w:val="00796BD2"/>
    <w:rsid w:val="00797EB5"/>
    <w:rsid w:val="00797F80"/>
    <w:rsid w:val="007A0321"/>
    <w:rsid w:val="007A247C"/>
    <w:rsid w:val="007A37F5"/>
    <w:rsid w:val="007A5D88"/>
    <w:rsid w:val="007A62CD"/>
    <w:rsid w:val="007A632D"/>
    <w:rsid w:val="007B0292"/>
    <w:rsid w:val="007B0461"/>
    <w:rsid w:val="007B0D0D"/>
    <w:rsid w:val="007B223B"/>
    <w:rsid w:val="007B258B"/>
    <w:rsid w:val="007B4009"/>
    <w:rsid w:val="007B7AD1"/>
    <w:rsid w:val="007C1340"/>
    <w:rsid w:val="007C13E6"/>
    <w:rsid w:val="007C35E4"/>
    <w:rsid w:val="007C40C3"/>
    <w:rsid w:val="007C5F46"/>
    <w:rsid w:val="007D010F"/>
    <w:rsid w:val="007D1420"/>
    <w:rsid w:val="007E38A6"/>
    <w:rsid w:val="007E4649"/>
    <w:rsid w:val="007E4765"/>
    <w:rsid w:val="007E7347"/>
    <w:rsid w:val="007F12E8"/>
    <w:rsid w:val="007F1784"/>
    <w:rsid w:val="007F2EE3"/>
    <w:rsid w:val="007F3E39"/>
    <w:rsid w:val="007F4CD8"/>
    <w:rsid w:val="00801B00"/>
    <w:rsid w:val="00803D8B"/>
    <w:rsid w:val="00803FA3"/>
    <w:rsid w:val="00806EE3"/>
    <w:rsid w:val="00810194"/>
    <w:rsid w:val="0081099B"/>
    <w:rsid w:val="00812097"/>
    <w:rsid w:val="00814321"/>
    <w:rsid w:val="00815106"/>
    <w:rsid w:val="0082360E"/>
    <w:rsid w:val="0082573C"/>
    <w:rsid w:val="008258EC"/>
    <w:rsid w:val="00825DC0"/>
    <w:rsid w:val="00830D88"/>
    <w:rsid w:val="00834237"/>
    <w:rsid w:val="00834915"/>
    <w:rsid w:val="00836AE3"/>
    <w:rsid w:val="008408BA"/>
    <w:rsid w:val="0084438A"/>
    <w:rsid w:val="008443C7"/>
    <w:rsid w:val="00844AB2"/>
    <w:rsid w:val="0085521E"/>
    <w:rsid w:val="00855B87"/>
    <w:rsid w:val="008629A2"/>
    <w:rsid w:val="00864FC5"/>
    <w:rsid w:val="0086586E"/>
    <w:rsid w:val="008679C3"/>
    <w:rsid w:val="008724DF"/>
    <w:rsid w:val="00880B1A"/>
    <w:rsid w:val="00881648"/>
    <w:rsid w:val="00882FEB"/>
    <w:rsid w:val="00883D34"/>
    <w:rsid w:val="0088406C"/>
    <w:rsid w:val="0088485E"/>
    <w:rsid w:val="008854A4"/>
    <w:rsid w:val="00894C64"/>
    <w:rsid w:val="00894D62"/>
    <w:rsid w:val="0089694C"/>
    <w:rsid w:val="008A05AC"/>
    <w:rsid w:val="008A08E4"/>
    <w:rsid w:val="008A290C"/>
    <w:rsid w:val="008A626F"/>
    <w:rsid w:val="008B101D"/>
    <w:rsid w:val="008B5DA8"/>
    <w:rsid w:val="008B701E"/>
    <w:rsid w:val="008C021D"/>
    <w:rsid w:val="008C4B7A"/>
    <w:rsid w:val="008C4B9A"/>
    <w:rsid w:val="008C57F9"/>
    <w:rsid w:val="008D2204"/>
    <w:rsid w:val="008D3BC9"/>
    <w:rsid w:val="008E146C"/>
    <w:rsid w:val="008F3878"/>
    <w:rsid w:val="008F51E9"/>
    <w:rsid w:val="008F6CEB"/>
    <w:rsid w:val="00900A12"/>
    <w:rsid w:val="00902001"/>
    <w:rsid w:val="00906590"/>
    <w:rsid w:val="00907E45"/>
    <w:rsid w:val="00910F81"/>
    <w:rsid w:val="00911848"/>
    <w:rsid w:val="00915694"/>
    <w:rsid w:val="0091752F"/>
    <w:rsid w:val="009218C6"/>
    <w:rsid w:val="009253B1"/>
    <w:rsid w:val="0092701C"/>
    <w:rsid w:val="00930A93"/>
    <w:rsid w:val="009371EB"/>
    <w:rsid w:val="009372BB"/>
    <w:rsid w:val="00937C87"/>
    <w:rsid w:val="00942C82"/>
    <w:rsid w:val="00943C75"/>
    <w:rsid w:val="0094429D"/>
    <w:rsid w:val="00946068"/>
    <w:rsid w:val="00951594"/>
    <w:rsid w:val="009552A9"/>
    <w:rsid w:val="00955F37"/>
    <w:rsid w:val="00963D67"/>
    <w:rsid w:val="009655BA"/>
    <w:rsid w:val="0097538F"/>
    <w:rsid w:val="009763FD"/>
    <w:rsid w:val="009839B7"/>
    <w:rsid w:val="00991BBE"/>
    <w:rsid w:val="009928DE"/>
    <w:rsid w:val="00993451"/>
    <w:rsid w:val="009A0392"/>
    <w:rsid w:val="009A0E19"/>
    <w:rsid w:val="009A4F11"/>
    <w:rsid w:val="009A7862"/>
    <w:rsid w:val="009B1793"/>
    <w:rsid w:val="009B23CB"/>
    <w:rsid w:val="009B439E"/>
    <w:rsid w:val="009B5CC2"/>
    <w:rsid w:val="009C1BE5"/>
    <w:rsid w:val="009C2BB7"/>
    <w:rsid w:val="009C3248"/>
    <w:rsid w:val="009C3D9E"/>
    <w:rsid w:val="009C4BEF"/>
    <w:rsid w:val="009C59AC"/>
    <w:rsid w:val="009C6F1A"/>
    <w:rsid w:val="009C7F48"/>
    <w:rsid w:val="009D3E0A"/>
    <w:rsid w:val="009D5024"/>
    <w:rsid w:val="009E0DBC"/>
    <w:rsid w:val="009E27CE"/>
    <w:rsid w:val="009E3B3F"/>
    <w:rsid w:val="009E52DC"/>
    <w:rsid w:val="009E7A4A"/>
    <w:rsid w:val="009F0C03"/>
    <w:rsid w:val="009F1111"/>
    <w:rsid w:val="009F21D6"/>
    <w:rsid w:val="009F2B83"/>
    <w:rsid w:val="00A00F55"/>
    <w:rsid w:val="00A11140"/>
    <w:rsid w:val="00A21293"/>
    <w:rsid w:val="00A22AA1"/>
    <w:rsid w:val="00A321C8"/>
    <w:rsid w:val="00A3474C"/>
    <w:rsid w:val="00A3530F"/>
    <w:rsid w:val="00A35A76"/>
    <w:rsid w:val="00A35E67"/>
    <w:rsid w:val="00A4287A"/>
    <w:rsid w:val="00A4621C"/>
    <w:rsid w:val="00A47AFE"/>
    <w:rsid w:val="00A50F26"/>
    <w:rsid w:val="00A52C7E"/>
    <w:rsid w:val="00A52D25"/>
    <w:rsid w:val="00A52E70"/>
    <w:rsid w:val="00A53324"/>
    <w:rsid w:val="00A56DE9"/>
    <w:rsid w:val="00A5722E"/>
    <w:rsid w:val="00A579AD"/>
    <w:rsid w:val="00A67CF8"/>
    <w:rsid w:val="00A707D5"/>
    <w:rsid w:val="00A70A83"/>
    <w:rsid w:val="00A72518"/>
    <w:rsid w:val="00A726E3"/>
    <w:rsid w:val="00A733C8"/>
    <w:rsid w:val="00A74C91"/>
    <w:rsid w:val="00A77E0C"/>
    <w:rsid w:val="00A82094"/>
    <w:rsid w:val="00A826E5"/>
    <w:rsid w:val="00A83847"/>
    <w:rsid w:val="00A8491B"/>
    <w:rsid w:val="00A84B6E"/>
    <w:rsid w:val="00A85AAE"/>
    <w:rsid w:val="00A86B48"/>
    <w:rsid w:val="00A915AA"/>
    <w:rsid w:val="00A93804"/>
    <w:rsid w:val="00A9510B"/>
    <w:rsid w:val="00AA06D7"/>
    <w:rsid w:val="00AA1242"/>
    <w:rsid w:val="00AA1D1B"/>
    <w:rsid w:val="00AA4270"/>
    <w:rsid w:val="00AA63AE"/>
    <w:rsid w:val="00AA7F16"/>
    <w:rsid w:val="00AB080A"/>
    <w:rsid w:val="00AB5D96"/>
    <w:rsid w:val="00AB6659"/>
    <w:rsid w:val="00AB78F2"/>
    <w:rsid w:val="00AC3E57"/>
    <w:rsid w:val="00AC7420"/>
    <w:rsid w:val="00AC7597"/>
    <w:rsid w:val="00AD04CA"/>
    <w:rsid w:val="00AD225A"/>
    <w:rsid w:val="00AD3C0C"/>
    <w:rsid w:val="00AE3404"/>
    <w:rsid w:val="00AE3532"/>
    <w:rsid w:val="00AF278C"/>
    <w:rsid w:val="00AF33CF"/>
    <w:rsid w:val="00AF3650"/>
    <w:rsid w:val="00AF45DE"/>
    <w:rsid w:val="00AF5C3F"/>
    <w:rsid w:val="00AF5CAA"/>
    <w:rsid w:val="00AF6781"/>
    <w:rsid w:val="00AF7893"/>
    <w:rsid w:val="00B01309"/>
    <w:rsid w:val="00B03B4E"/>
    <w:rsid w:val="00B12732"/>
    <w:rsid w:val="00B12A50"/>
    <w:rsid w:val="00B146F5"/>
    <w:rsid w:val="00B1660E"/>
    <w:rsid w:val="00B20499"/>
    <w:rsid w:val="00B23556"/>
    <w:rsid w:val="00B24B91"/>
    <w:rsid w:val="00B24D2C"/>
    <w:rsid w:val="00B256FA"/>
    <w:rsid w:val="00B258C2"/>
    <w:rsid w:val="00B32CDD"/>
    <w:rsid w:val="00B35193"/>
    <w:rsid w:val="00B36DD5"/>
    <w:rsid w:val="00B40765"/>
    <w:rsid w:val="00B451EC"/>
    <w:rsid w:val="00B476AC"/>
    <w:rsid w:val="00B505A1"/>
    <w:rsid w:val="00B53096"/>
    <w:rsid w:val="00B5473C"/>
    <w:rsid w:val="00B54C6E"/>
    <w:rsid w:val="00B56852"/>
    <w:rsid w:val="00B640B6"/>
    <w:rsid w:val="00B6487F"/>
    <w:rsid w:val="00B64BD9"/>
    <w:rsid w:val="00B65056"/>
    <w:rsid w:val="00B6594F"/>
    <w:rsid w:val="00B6797A"/>
    <w:rsid w:val="00B70D32"/>
    <w:rsid w:val="00B7318C"/>
    <w:rsid w:val="00B73F1A"/>
    <w:rsid w:val="00B7404D"/>
    <w:rsid w:val="00B75C04"/>
    <w:rsid w:val="00B75E06"/>
    <w:rsid w:val="00B77562"/>
    <w:rsid w:val="00B84F0D"/>
    <w:rsid w:val="00B86F2C"/>
    <w:rsid w:val="00B86F62"/>
    <w:rsid w:val="00B874A3"/>
    <w:rsid w:val="00B87CAF"/>
    <w:rsid w:val="00B90512"/>
    <w:rsid w:val="00B924B9"/>
    <w:rsid w:val="00B934D3"/>
    <w:rsid w:val="00B94E28"/>
    <w:rsid w:val="00B969C2"/>
    <w:rsid w:val="00B97AA8"/>
    <w:rsid w:val="00BA5B41"/>
    <w:rsid w:val="00BA6FB9"/>
    <w:rsid w:val="00BB510C"/>
    <w:rsid w:val="00BB704A"/>
    <w:rsid w:val="00BC291E"/>
    <w:rsid w:val="00BC2A73"/>
    <w:rsid w:val="00BC5F04"/>
    <w:rsid w:val="00BD32E9"/>
    <w:rsid w:val="00BD707D"/>
    <w:rsid w:val="00BD7DEE"/>
    <w:rsid w:val="00BD7FA2"/>
    <w:rsid w:val="00BE1C96"/>
    <w:rsid w:val="00BE2866"/>
    <w:rsid w:val="00BE4502"/>
    <w:rsid w:val="00BE7F37"/>
    <w:rsid w:val="00BF00DC"/>
    <w:rsid w:val="00BF3C57"/>
    <w:rsid w:val="00BF5845"/>
    <w:rsid w:val="00BF6765"/>
    <w:rsid w:val="00BF7692"/>
    <w:rsid w:val="00BF7810"/>
    <w:rsid w:val="00C043F7"/>
    <w:rsid w:val="00C058C3"/>
    <w:rsid w:val="00C065F5"/>
    <w:rsid w:val="00C16404"/>
    <w:rsid w:val="00C17EF0"/>
    <w:rsid w:val="00C25D03"/>
    <w:rsid w:val="00C26C26"/>
    <w:rsid w:val="00C31244"/>
    <w:rsid w:val="00C318F8"/>
    <w:rsid w:val="00C319BC"/>
    <w:rsid w:val="00C35050"/>
    <w:rsid w:val="00C373A4"/>
    <w:rsid w:val="00C375CE"/>
    <w:rsid w:val="00C41AC3"/>
    <w:rsid w:val="00C42A58"/>
    <w:rsid w:val="00C43F8E"/>
    <w:rsid w:val="00C4448F"/>
    <w:rsid w:val="00C46C6A"/>
    <w:rsid w:val="00C46E8E"/>
    <w:rsid w:val="00C51204"/>
    <w:rsid w:val="00C52559"/>
    <w:rsid w:val="00C55921"/>
    <w:rsid w:val="00C56C78"/>
    <w:rsid w:val="00C57D26"/>
    <w:rsid w:val="00C62C0A"/>
    <w:rsid w:val="00C63B6F"/>
    <w:rsid w:val="00C63BB6"/>
    <w:rsid w:val="00C71826"/>
    <w:rsid w:val="00C760A6"/>
    <w:rsid w:val="00C77D0C"/>
    <w:rsid w:val="00C80F28"/>
    <w:rsid w:val="00C820A2"/>
    <w:rsid w:val="00C8452E"/>
    <w:rsid w:val="00C861DF"/>
    <w:rsid w:val="00C86211"/>
    <w:rsid w:val="00C86F89"/>
    <w:rsid w:val="00C874DC"/>
    <w:rsid w:val="00C91168"/>
    <w:rsid w:val="00C91756"/>
    <w:rsid w:val="00C92D63"/>
    <w:rsid w:val="00CA6DD1"/>
    <w:rsid w:val="00CB0D11"/>
    <w:rsid w:val="00CB3D28"/>
    <w:rsid w:val="00CB4E1F"/>
    <w:rsid w:val="00CB4EB2"/>
    <w:rsid w:val="00CB54C5"/>
    <w:rsid w:val="00CB55B7"/>
    <w:rsid w:val="00CB5CC8"/>
    <w:rsid w:val="00CB794E"/>
    <w:rsid w:val="00CC45C3"/>
    <w:rsid w:val="00CC5E4A"/>
    <w:rsid w:val="00CD1917"/>
    <w:rsid w:val="00CD3AF2"/>
    <w:rsid w:val="00CD4251"/>
    <w:rsid w:val="00CD480C"/>
    <w:rsid w:val="00CD5A40"/>
    <w:rsid w:val="00CE123D"/>
    <w:rsid w:val="00CE2A7C"/>
    <w:rsid w:val="00CE3B38"/>
    <w:rsid w:val="00CE6CA9"/>
    <w:rsid w:val="00CF1DD6"/>
    <w:rsid w:val="00CF1E76"/>
    <w:rsid w:val="00CF5321"/>
    <w:rsid w:val="00CF7AAE"/>
    <w:rsid w:val="00CF7C69"/>
    <w:rsid w:val="00D028E3"/>
    <w:rsid w:val="00D03081"/>
    <w:rsid w:val="00D034FF"/>
    <w:rsid w:val="00D05257"/>
    <w:rsid w:val="00D05C4E"/>
    <w:rsid w:val="00D10145"/>
    <w:rsid w:val="00D12B2E"/>
    <w:rsid w:val="00D13271"/>
    <w:rsid w:val="00D24597"/>
    <w:rsid w:val="00D27AF7"/>
    <w:rsid w:val="00D308BF"/>
    <w:rsid w:val="00D31D35"/>
    <w:rsid w:val="00D31F1F"/>
    <w:rsid w:val="00D33C03"/>
    <w:rsid w:val="00D3597A"/>
    <w:rsid w:val="00D3767A"/>
    <w:rsid w:val="00D41ABE"/>
    <w:rsid w:val="00D43551"/>
    <w:rsid w:val="00D45765"/>
    <w:rsid w:val="00D458EB"/>
    <w:rsid w:val="00D464B3"/>
    <w:rsid w:val="00D46EB8"/>
    <w:rsid w:val="00D538E3"/>
    <w:rsid w:val="00D56FF9"/>
    <w:rsid w:val="00D60376"/>
    <w:rsid w:val="00D6320B"/>
    <w:rsid w:val="00D634C8"/>
    <w:rsid w:val="00D647DD"/>
    <w:rsid w:val="00D66421"/>
    <w:rsid w:val="00D67464"/>
    <w:rsid w:val="00D74071"/>
    <w:rsid w:val="00D760CA"/>
    <w:rsid w:val="00D81046"/>
    <w:rsid w:val="00D832BA"/>
    <w:rsid w:val="00D852B3"/>
    <w:rsid w:val="00D866E3"/>
    <w:rsid w:val="00D87C3F"/>
    <w:rsid w:val="00D9066F"/>
    <w:rsid w:val="00D90E7E"/>
    <w:rsid w:val="00D930E8"/>
    <w:rsid w:val="00D93E67"/>
    <w:rsid w:val="00D97025"/>
    <w:rsid w:val="00D97D11"/>
    <w:rsid w:val="00DA2150"/>
    <w:rsid w:val="00DA25EA"/>
    <w:rsid w:val="00DA3486"/>
    <w:rsid w:val="00DA53E3"/>
    <w:rsid w:val="00DA540F"/>
    <w:rsid w:val="00DA5B19"/>
    <w:rsid w:val="00DB0A53"/>
    <w:rsid w:val="00DB2032"/>
    <w:rsid w:val="00DB30A5"/>
    <w:rsid w:val="00DB446A"/>
    <w:rsid w:val="00DB4A33"/>
    <w:rsid w:val="00DB4B38"/>
    <w:rsid w:val="00DB681D"/>
    <w:rsid w:val="00DB7215"/>
    <w:rsid w:val="00DC029B"/>
    <w:rsid w:val="00DC46CE"/>
    <w:rsid w:val="00DC67F1"/>
    <w:rsid w:val="00DC6B3A"/>
    <w:rsid w:val="00DD03AE"/>
    <w:rsid w:val="00DD0E21"/>
    <w:rsid w:val="00DD147A"/>
    <w:rsid w:val="00DD4BB2"/>
    <w:rsid w:val="00DD7B82"/>
    <w:rsid w:val="00DE0E77"/>
    <w:rsid w:val="00DE47F4"/>
    <w:rsid w:val="00DE7F53"/>
    <w:rsid w:val="00DF33E4"/>
    <w:rsid w:val="00DF6F8F"/>
    <w:rsid w:val="00DF74A9"/>
    <w:rsid w:val="00E013BD"/>
    <w:rsid w:val="00E015BD"/>
    <w:rsid w:val="00E01FCD"/>
    <w:rsid w:val="00E02421"/>
    <w:rsid w:val="00E06C36"/>
    <w:rsid w:val="00E071CC"/>
    <w:rsid w:val="00E117D4"/>
    <w:rsid w:val="00E11A55"/>
    <w:rsid w:val="00E14D06"/>
    <w:rsid w:val="00E16693"/>
    <w:rsid w:val="00E1709F"/>
    <w:rsid w:val="00E201FD"/>
    <w:rsid w:val="00E228B5"/>
    <w:rsid w:val="00E26FD8"/>
    <w:rsid w:val="00E273FD"/>
    <w:rsid w:val="00E31D25"/>
    <w:rsid w:val="00E33554"/>
    <w:rsid w:val="00E33E8D"/>
    <w:rsid w:val="00E35D1B"/>
    <w:rsid w:val="00E40E40"/>
    <w:rsid w:val="00E46484"/>
    <w:rsid w:val="00E52886"/>
    <w:rsid w:val="00E53A42"/>
    <w:rsid w:val="00E55E83"/>
    <w:rsid w:val="00E55EB9"/>
    <w:rsid w:val="00E570C4"/>
    <w:rsid w:val="00E619A5"/>
    <w:rsid w:val="00E64868"/>
    <w:rsid w:val="00E6592C"/>
    <w:rsid w:val="00E721E0"/>
    <w:rsid w:val="00E72E82"/>
    <w:rsid w:val="00E74F64"/>
    <w:rsid w:val="00E80406"/>
    <w:rsid w:val="00E80409"/>
    <w:rsid w:val="00E84F2E"/>
    <w:rsid w:val="00E85A4F"/>
    <w:rsid w:val="00E91586"/>
    <w:rsid w:val="00E9407E"/>
    <w:rsid w:val="00E9435B"/>
    <w:rsid w:val="00E972AE"/>
    <w:rsid w:val="00EB0353"/>
    <w:rsid w:val="00EB1FE7"/>
    <w:rsid w:val="00EB53EC"/>
    <w:rsid w:val="00EB56C7"/>
    <w:rsid w:val="00EB57A2"/>
    <w:rsid w:val="00EB6387"/>
    <w:rsid w:val="00EB6E6D"/>
    <w:rsid w:val="00EC0CB1"/>
    <w:rsid w:val="00EC4CA0"/>
    <w:rsid w:val="00EC4FF8"/>
    <w:rsid w:val="00EC5DC7"/>
    <w:rsid w:val="00EC6F49"/>
    <w:rsid w:val="00EC79CD"/>
    <w:rsid w:val="00ED1C3F"/>
    <w:rsid w:val="00ED5A6B"/>
    <w:rsid w:val="00ED6778"/>
    <w:rsid w:val="00EE081F"/>
    <w:rsid w:val="00EE3C08"/>
    <w:rsid w:val="00EE59D8"/>
    <w:rsid w:val="00EE684B"/>
    <w:rsid w:val="00EE756D"/>
    <w:rsid w:val="00EF1D91"/>
    <w:rsid w:val="00EF40F3"/>
    <w:rsid w:val="00EF4A17"/>
    <w:rsid w:val="00EF78AD"/>
    <w:rsid w:val="00F00037"/>
    <w:rsid w:val="00F00B33"/>
    <w:rsid w:val="00F01A0C"/>
    <w:rsid w:val="00F02D5E"/>
    <w:rsid w:val="00F05EF8"/>
    <w:rsid w:val="00F06FD4"/>
    <w:rsid w:val="00F100BC"/>
    <w:rsid w:val="00F137A2"/>
    <w:rsid w:val="00F1396C"/>
    <w:rsid w:val="00F1417A"/>
    <w:rsid w:val="00F14BD8"/>
    <w:rsid w:val="00F202C4"/>
    <w:rsid w:val="00F22B99"/>
    <w:rsid w:val="00F2526F"/>
    <w:rsid w:val="00F33D40"/>
    <w:rsid w:val="00F34ECD"/>
    <w:rsid w:val="00F35C4D"/>
    <w:rsid w:val="00F37414"/>
    <w:rsid w:val="00F42BE7"/>
    <w:rsid w:val="00F4620B"/>
    <w:rsid w:val="00F536DC"/>
    <w:rsid w:val="00F56941"/>
    <w:rsid w:val="00F628D9"/>
    <w:rsid w:val="00F6693B"/>
    <w:rsid w:val="00F676F2"/>
    <w:rsid w:val="00F6772D"/>
    <w:rsid w:val="00F7176C"/>
    <w:rsid w:val="00F80272"/>
    <w:rsid w:val="00F83DA5"/>
    <w:rsid w:val="00F86DFC"/>
    <w:rsid w:val="00F90327"/>
    <w:rsid w:val="00F95E44"/>
    <w:rsid w:val="00F96180"/>
    <w:rsid w:val="00FA0FB2"/>
    <w:rsid w:val="00FA289B"/>
    <w:rsid w:val="00FA2EB3"/>
    <w:rsid w:val="00FA6311"/>
    <w:rsid w:val="00FA721E"/>
    <w:rsid w:val="00FB037C"/>
    <w:rsid w:val="00FB0596"/>
    <w:rsid w:val="00FB27A9"/>
    <w:rsid w:val="00FB427D"/>
    <w:rsid w:val="00FB4444"/>
    <w:rsid w:val="00FB572A"/>
    <w:rsid w:val="00FC0659"/>
    <w:rsid w:val="00FC2516"/>
    <w:rsid w:val="00FC2DE4"/>
    <w:rsid w:val="00FC663E"/>
    <w:rsid w:val="00FC7D30"/>
    <w:rsid w:val="00FD2E4E"/>
    <w:rsid w:val="00FD3EC6"/>
    <w:rsid w:val="00FE1688"/>
    <w:rsid w:val="00FF15C0"/>
    <w:rsid w:val="0140E3C8"/>
    <w:rsid w:val="01CD9E08"/>
    <w:rsid w:val="0243B71C"/>
    <w:rsid w:val="038673FB"/>
    <w:rsid w:val="0418B316"/>
    <w:rsid w:val="0598186A"/>
    <w:rsid w:val="06103DF2"/>
    <w:rsid w:val="09BC3FE4"/>
    <w:rsid w:val="0A533551"/>
    <w:rsid w:val="0BC338C0"/>
    <w:rsid w:val="0BD2550A"/>
    <w:rsid w:val="0D79CFEC"/>
    <w:rsid w:val="0DDD05E9"/>
    <w:rsid w:val="0E72345E"/>
    <w:rsid w:val="0F03F3E1"/>
    <w:rsid w:val="0F371F59"/>
    <w:rsid w:val="0F9203B0"/>
    <w:rsid w:val="13121A87"/>
    <w:rsid w:val="17A66A8B"/>
    <w:rsid w:val="187E6F66"/>
    <w:rsid w:val="18DA6983"/>
    <w:rsid w:val="18F7E90A"/>
    <w:rsid w:val="197148D0"/>
    <w:rsid w:val="197C9E8C"/>
    <w:rsid w:val="1B390063"/>
    <w:rsid w:val="1B76AB00"/>
    <w:rsid w:val="1BBF7F15"/>
    <w:rsid w:val="1BDAB908"/>
    <w:rsid w:val="1E091201"/>
    <w:rsid w:val="1F3DF5BB"/>
    <w:rsid w:val="210227EE"/>
    <w:rsid w:val="22314450"/>
    <w:rsid w:val="24EA66C8"/>
    <w:rsid w:val="2572725F"/>
    <w:rsid w:val="260B40B8"/>
    <w:rsid w:val="26701219"/>
    <w:rsid w:val="26C98EBA"/>
    <w:rsid w:val="26DE39B7"/>
    <w:rsid w:val="27184512"/>
    <w:rsid w:val="2802D971"/>
    <w:rsid w:val="28443550"/>
    <w:rsid w:val="2A86599D"/>
    <w:rsid w:val="2B63E7C8"/>
    <w:rsid w:val="2BE613B7"/>
    <w:rsid w:val="2C0D41D5"/>
    <w:rsid w:val="2FCEE332"/>
    <w:rsid w:val="32361769"/>
    <w:rsid w:val="326160BF"/>
    <w:rsid w:val="32EEC889"/>
    <w:rsid w:val="33842007"/>
    <w:rsid w:val="356951DD"/>
    <w:rsid w:val="35EB5C96"/>
    <w:rsid w:val="3610EADA"/>
    <w:rsid w:val="3669E97E"/>
    <w:rsid w:val="37606320"/>
    <w:rsid w:val="37E57F41"/>
    <w:rsid w:val="3844892E"/>
    <w:rsid w:val="389A728C"/>
    <w:rsid w:val="39E4970F"/>
    <w:rsid w:val="3BE1C26D"/>
    <w:rsid w:val="3C18C204"/>
    <w:rsid w:val="40DFC022"/>
    <w:rsid w:val="40E7AC13"/>
    <w:rsid w:val="412BEDB5"/>
    <w:rsid w:val="41C7FDE3"/>
    <w:rsid w:val="43DAE71E"/>
    <w:rsid w:val="444995B5"/>
    <w:rsid w:val="4678D2D9"/>
    <w:rsid w:val="46CE0096"/>
    <w:rsid w:val="48123AEB"/>
    <w:rsid w:val="4985B5A4"/>
    <w:rsid w:val="4A0A799D"/>
    <w:rsid w:val="4A35C204"/>
    <w:rsid w:val="4AC0461E"/>
    <w:rsid w:val="4BCAFAB8"/>
    <w:rsid w:val="4D3FA483"/>
    <w:rsid w:val="4D727C1C"/>
    <w:rsid w:val="4E24034F"/>
    <w:rsid w:val="4EC34113"/>
    <w:rsid w:val="52B9E80E"/>
    <w:rsid w:val="52CA2060"/>
    <w:rsid w:val="549982C1"/>
    <w:rsid w:val="54A7B119"/>
    <w:rsid w:val="54AE8B71"/>
    <w:rsid w:val="55B727E9"/>
    <w:rsid w:val="573C2263"/>
    <w:rsid w:val="57A968FF"/>
    <w:rsid w:val="58887E83"/>
    <w:rsid w:val="5917238A"/>
    <w:rsid w:val="599709E6"/>
    <w:rsid w:val="59AFA6DC"/>
    <w:rsid w:val="5C3F11BD"/>
    <w:rsid w:val="5C749C2E"/>
    <w:rsid w:val="5D2D63EE"/>
    <w:rsid w:val="5E7B9476"/>
    <w:rsid w:val="5E87C6C4"/>
    <w:rsid w:val="5F9AA065"/>
    <w:rsid w:val="60B2C582"/>
    <w:rsid w:val="610930A7"/>
    <w:rsid w:val="630D4F12"/>
    <w:rsid w:val="642AB53F"/>
    <w:rsid w:val="67E8927B"/>
    <w:rsid w:val="689AFE49"/>
    <w:rsid w:val="691F3902"/>
    <w:rsid w:val="6A23FBD6"/>
    <w:rsid w:val="6BD88636"/>
    <w:rsid w:val="6C0735B6"/>
    <w:rsid w:val="6CB8C061"/>
    <w:rsid w:val="6CDD0180"/>
    <w:rsid w:val="7085432D"/>
    <w:rsid w:val="722B31A0"/>
    <w:rsid w:val="732B8D39"/>
    <w:rsid w:val="733AFE4E"/>
    <w:rsid w:val="735D9E89"/>
    <w:rsid w:val="742BF518"/>
    <w:rsid w:val="74DCB287"/>
    <w:rsid w:val="7578DCCC"/>
    <w:rsid w:val="75F5AAE8"/>
    <w:rsid w:val="777D5C29"/>
    <w:rsid w:val="77C8BA0B"/>
    <w:rsid w:val="7823B9B9"/>
    <w:rsid w:val="79E184F7"/>
    <w:rsid w:val="7A2E3C1D"/>
    <w:rsid w:val="7ABC4E64"/>
    <w:rsid w:val="7AC8282F"/>
    <w:rsid w:val="7B5EE644"/>
    <w:rsid w:val="7CB2E7E6"/>
    <w:rsid w:val="7CD77858"/>
    <w:rsid w:val="7E3AD914"/>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26AD68"/>
  <w15:docId w15:val="{732D0697-E2D2-4687-A3BD-D19DF4AC15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EastAsia" w:hAnsi="Arial" w:cstheme="minorBidi"/>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6C4D"/>
  </w:style>
  <w:style w:type="paragraph" w:styleId="Titre1">
    <w:name w:val="heading 1"/>
    <w:basedOn w:val="Normal"/>
    <w:next w:val="Normal"/>
    <w:link w:val="Titre1Car"/>
    <w:uiPriority w:val="9"/>
    <w:qFormat/>
    <w:rsid w:val="000B6C4D"/>
    <w:pPr>
      <w:spacing w:after="240"/>
      <w:outlineLvl w:val="0"/>
    </w:pPr>
    <w:rPr>
      <w:b/>
      <w:color w:val="000000" w:themeColor="text1"/>
      <w:sz w:val="24"/>
    </w:rPr>
  </w:style>
  <w:style w:type="paragraph" w:styleId="Titre2">
    <w:name w:val="heading 2"/>
    <w:basedOn w:val="Titre1"/>
    <w:next w:val="Normal"/>
    <w:link w:val="Titre2Car"/>
    <w:uiPriority w:val="9"/>
    <w:qFormat/>
    <w:rsid w:val="000B6C4D"/>
    <w:pPr>
      <w:spacing w:after="120"/>
      <w:outlineLvl w:val="1"/>
    </w:pPr>
    <w:rPr>
      <w:sz w:val="20"/>
    </w:rPr>
  </w:style>
  <w:style w:type="paragraph" w:styleId="Titre3">
    <w:name w:val="heading 3"/>
    <w:basedOn w:val="Titre2"/>
    <w:next w:val="Normal"/>
    <w:link w:val="Titre3Car"/>
    <w:uiPriority w:val="9"/>
    <w:qFormat/>
    <w:rsid w:val="000B6C4D"/>
    <w:pPr>
      <w:outlineLvl w:val="2"/>
    </w:pPr>
    <w:rPr>
      <w:b w:val="0"/>
    </w:rPr>
  </w:style>
  <w:style w:type="paragraph" w:styleId="Titre4">
    <w:name w:val="heading 4"/>
    <w:basedOn w:val="Titre3"/>
    <w:next w:val="Normal"/>
    <w:link w:val="Titre4Car"/>
    <w:uiPriority w:val="9"/>
    <w:qFormat/>
    <w:rsid w:val="000B6C4D"/>
    <w:pPr>
      <w:outlineLvl w:val="3"/>
    </w:pPr>
    <w:rPr>
      <w:bCs/>
      <w:i/>
      <w:color w:val="auto"/>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4Car">
    <w:name w:val="Titre 4 Car"/>
    <w:basedOn w:val="Policepardfaut"/>
    <w:link w:val="Titre4"/>
    <w:uiPriority w:val="9"/>
    <w:rsid w:val="000B6C4D"/>
    <w:rPr>
      <w:bCs/>
      <w:i/>
    </w:rPr>
  </w:style>
  <w:style w:type="character" w:customStyle="1" w:styleId="Titre3Car">
    <w:name w:val="Titre 3 Car"/>
    <w:basedOn w:val="Policepardfaut"/>
    <w:link w:val="Titre3"/>
    <w:uiPriority w:val="9"/>
    <w:rsid w:val="000B6C4D"/>
    <w:rPr>
      <w:color w:val="000000" w:themeColor="text1"/>
    </w:rPr>
  </w:style>
  <w:style w:type="character" w:customStyle="1" w:styleId="Titre1Car">
    <w:name w:val="Titre 1 Car"/>
    <w:basedOn w:val="Policepardfaut"/>
    <w:link w:val="Titre1"/>
    <w:uiPriority w:val="9"/>
    <w:rsid w:val="000B6C4D"/>
    <w:rPr>
      <w:b/>
      <w:color w:val="000000" w:themeColor="text1"/>
      <w:sz w:val="24"/>
    </w:rPr>
  </w:style>
  <w:style w:type="character" w:customStyle="1" w:styleId="Titre2Car">
    <w:name w:val="Titre 2 Car"/>
    <w:basedOn w:val="Policepardfaut"/>
    <w:link w:val="Titre2"/>
    <w:uiPriority w:val="9"/>
    <w:rsid w:val="000B6C4D"/>
    <w:rPr>
      <w:b/>
      <w:color w:val="000000" w:themeColor="text1"/>
    </w:rPr>
  </w:style>
  <w:style w:type="paragraph" w:styleId="En-tte">
    <w:name w:val="header"/>
    <w:basedOn w:val="Normal"/>
    <w:link w:val="En-tteCar"/>
    <w:uiPriority w:val="99"/>
    <w:unhideWhenUsed/>
    <w:rsid w:val="00B35193"/>
    <w:pPr>
      <w:tabs>
        <w:tab w:val="right" w:pos="10632"/>
      </w:tabs>
      <w:spacing w:line="280" w:lineRule="exact"/>
      <w:ind w:right="38"/>
    </w:pPr>
    <w:rPr>
      <w:rFonts w:eastAsia="Calibri" w:cs="Times New Roman"/>
    </w:rPr>
  </w:style>
  <w:style w:type="character" w:customStyle="1" w:styleId="En-tteCar">
    <w:name w:val="En-tête Car"/>
    <w:basedOn w:val="Policepardfaut"/>
    <w:link w:val="En-tte"/>
    <w:uiPriority w:val="99"/>
    <w:rsid w:val="00B35193"/>
    <w:rPr>
      <w:rFonts w:eastAsia="Calibri" w:cs="Times New Roman"/>
    </w:rPr>
  </w:style>
  <w:style w:type="paragraph" w:styleId="Pieddepage">
    <w:name w:val="footer"/>
    <w:basedOn w:val="Normal"/>
    <w:link w:val="PieddepageCar"/>
    <w:uiPriority w:val="99"/>
    <w:unhideWhenUsed/>
    <w:rsid w:val="00B35193"/>
    <w:pPr>
      <w:tabs>
        <w:tab w:val="center" w:pos="4536"/>
        <w:tab w:val="right" w:pos="9072"/>
      </w:tabs>
      <w:ind w:right="284"/>
    </w:pPr>
    <w:rPr>
      <w:rFonts w:eastAsia="Calibri" w:cs="Times New Roman"/>
      <w:szCs w:val="22"/>
    </w:rPr>
  </w:style>
  <w:style w:type="character" w:customStyle="1" w:styleId="PieddepageCar">
    <w:name w:val="Pied de page Car"/>
    <w:basedOn w:val="Policepardfaut"/>
    <w:link w:val="Pieddepage"/>
    <w:uiPriority w:val="99"/>
    <w:rsid w:val="00B35193"/>
    <w:rPr>
      <w:rFonts w:eastAsia="Calibri" w:cs="Times New Roman"/>
      <w:szCs w:val="22"/>
    </w:rPr>
  </w:style>
  <w:style w:type="character" w:styleId="Lienhypertexte">
    <w:name w:val="Hyperlink"/>
    <w:uiPriority w:val="99"/>
    <w:unhideWhenUsed/>
    <w:rsid w:val="002A1254"/>
    <w:rPr>
      <w:color w:val="004A96"/>
      <w:u w:val="single"/>
    </w:rPr>
  </w:style>
  <w:style w:type="paragraph" w:customStyle="1" w:styleId="Titel1">
    <w:name w:val="Titel1"/>
    <w:basedOn w:val="Normal"/>
    <w:rsid w:val="00B35193"/>
    <w:pPr>
      <w:spacing w:before="1740" w:line="280" w:lineRule="exact"/>
      <w:ind w:right="3124"/>
    </w:pPr>
    <w:rPr>
      <w:rFonts w:eastAsia="Calibri" w:cs="Times New Roman"/>
      <w:sz w:val="72"/>
      <w:szCs w:val="72"/>
    </w:rPr>
  </w:style>
  <w:style w:type="paragraph" w:customStyle="1" w:styleId="Dachzeile">
    <w:name w:val="Dachzeile"/>
    <w:basedOn w:val="Titre1"/>
    <w:rsid w:val="00B35193"/>
    <w:pPr>
      <w:spacing w:after="0" w:line="360" w:lineRule="auto"/>
      <w:ind w:right="3124"/>
    </w:pPr>
    <w:rPr>
      <w:rFonts w:eastAsia="Calibri" w:cs="Times New Roman"/>
      <w:color w:val="auto"/>
      <w:szCs w:val="24"/>
      <w:u w:val="single"/>
    </w:rPr>
  </w:style>
  <w:style w:type="paragraph" w:customStyle="1" w:styleId="Bullets">
    <w:name w:val="Bullets"/>
    <w:basedOn w:val="FormatStandard"/>
    <w:rsid w:val="00364ADF"/>
    <w:rPr>
      <w:b/>
    </w:rPr>
  </w:style>
  <w:style w:type="paragraph" w:customStyle="1" w:styleId="Sender">
    <w:name w:val="Sender"/>
    <w:basedOn w:val="Normal"/>
    <w:rsid w:val="00B35193"/>
    <w:pPr>
      <w:framePr w:hSpace="141" w:wrap="around" w:vAnchor="text" w:hAnchor="text" w:x="7492" w:y="1"/>
      <w:tabs>
        <w:tab w:val="left" w:pos="983"/>
      </w:tabs>
      <w:spacing w:line="240" w:lineRule="exact"/>
      <w:ind w:left="180" w:right="-108"/>
      <w:suppressOverlap/>
    </w:pPr>
    <w:rPr>
      <w:rFonts w:eastAsia="Calibri" w:cs="Times New Roman"/>
      <w:sz w:val="18"/>
      <w:szCs w:val="18"/>
    </w:rPr>
  </w:style>
  <w:style w:type="paragraph" w:customStyle="1" w:styleId="Abstandzumtitle">
    <w:name w:val="Abstand zum title"/>
    <w:basedOn w:val="Normal"/>
    <w:rsid w:val="00B35193"/>
    <w:pPr>
      <w:spacing w:before="560" w:line="280" w:lineRule="exact"/>
      <w:ind w:right="284"/>
    </w:pPr>
    <w:rPr>
      <w:rFonts w:eastAsia="Calibri" w:cs="Times New Roman"/>
      <w:szCs w:val="22"/>
    </w:rPr>
  </w:style>
  <w:style w:type="paragraph" w:customStyle="1" w:styleId="Untertitel1">
    <w:name w:val="Untertitel1"/>
    <w:basedOn w:val="Titre2"/>
    <w:rsid w:val="00B35193"/>
    <w:pPr>
      <w:spacing w:after="360" w:line="340" w:lineRule="exact"/>
      <w:ind w:right="3124"/>
    </w:pPr>
    <w:rPr>
      <w:rFonts w:eastAsia="Calibri" w:cs="Times New Roman"/>
      <w:color w:val="auto"/>
      <w:sz w:val="28"/>
      <w:szCs w:val="28"/>
    </w:rPr>
  </w:style>
  <w:style w:type="paragraph" w:customStyle="1" w:styleId="Zwischenberschrift">
    <w:name w:val="Zwischenüberschrift"/>
    <w:basedOn w:val="Titre3"/>
    <w:rsid w:val="00B35193"/>
    <w:pPr>
      <w:spacing w:after="200" w:line="360" w:lineRule="auto"/>
      <w:ind w:right="3124"/>
    </w:pPr>
    <w:rPr>
      <w:rFonts w:eastAsia="Calibri" w:cs="Times New Roman"/>
      <w:b/>
      <w:color w:val="auto"/>
      <w:sz w:val="24"/>
      <w:szCs w:val="24"/>
    </w:rPr>
  </w:style>
  <w:style w:type="paragraph" w:customStyle="1" w:styleId="FormatStandard">
    <w:name w:val="Format Standard"/>
    <w:basedOn w:val="Normal"/>
    <w:rsid w:val="00B35193"/>
    <w:pPr>
      <w:spacing w:after="200" w:line="360" w:lineRule="auto"/>
      <w:ind w:right="3124"/>
    </w:pPr>
    <w:rPr>
      <w:rFonts w:eastAsia="Calibri" w:cs="Times New Roman"/>
      <w:sz w:val="24"/>
      <w:szCs w:val="24"/>
    </w:rPr>
  </w:style>
  <w:style w:type="paragraph" w:customStyle="1" w:styleId="Boilerplateberschrift">
    <w:name w:val="Boilerplate Überschrift"/>
    <w:basedOn w:val="Normal"/>
    <w:rsid w:val="00B35193"/>
    <w:pPr>
      <w:spacing w:after="200" w:line="360" w:lineRule="auto"/>
      <w:ind w:right="3124"/>
    </w:pPr>
    <w:rPr>
      <w:rFonts w:eastAsia="Calibri" w:cs="Times New Roman"/>
      <w:b/>
    </w:rPr>
  </w:style>
  <w:style w:type="paragraph" w:customStyle="1" w:styleId="BoilerplateText">
    <w:name w:val="Boilerplate Text"/>
    <w:basedOn w:val="Normal"/>
    <w:rsid w:val="00B35193"/>
    <w:pPr>
      <w:spacing w:after="200" w:line="360" w:lineRule="auto"/>
      <w:ind w:right="3124"/>
    </w:pPr>
    <w:rPr>
      <w:rFonts w:eastAsia="Calibri" w:cs="Times New Roman"/>
    </w:rPr>
  </w:style>
  <w:style w:type="paragraph" w:styleId="Textedebulles">
    <w:name w:val="Balloon Text"/>
    <w:basedOn w:val="Normal"/>
    <w:link w:val="TextedebullesCar"/>
    <w:uiPriority w:val="99"/>
    <w:semiHidden/>
    <w:unhideWhenUsed/>
    <w:rsid w:val="00B35193"/>
    <w:rPr>
      <w:rFonts w:ascii="Tahoma" w:hAnsi="Tahoma" w:cs="Tahoma"/>
      <w:sz w:val="16"/>
      <w:szCs w:val="16"/>
    </w:rPr>
  </w:style>
  <w:style w:type="character" w:customStyle="1" w:styleId="TextedebullesCar">
    <w:name w:val="Texte de bulles Car"/>
    <w:basedOn w:val="Policepardfaut"/>
    <w:link w:val="Textedebulles"/>
    <w:uiPriority w:val="99"/>
    <w:semiHidden/>
    <w:rsid w:val="00B35193"/>
    <w:rPr>
      <w:rFonts w:ascii="Tahoma" w:hAnsi="Tahoma" w:cs="Tahoma"/>
      <w:sz w:val="16"/>
      <w:szCs w:val="16"/>
    </w:rPr>
  </w:style>
  <w:style w:type="character" w:customStyle="1" w:styleId="NichtaufgelsteErwhnung1">
    <w:name w:val="Nicht aufgelöste Erwähnung1"/>
    <w:basedOn w:val="Policepardfaut"/>
    <w:uiPriority w:val="99"/>
    <w:semiHidden/>
    <w:unhideWhenUsed/>
    <w:rsid w:val="00EF1D91"/>
    <w:rPr>
      <w:color w:val="808080"/>
      <w:shd w:val="clear" w:color="auto" w:fill="E6E6E6"/>
    </w:rPr>
  </w:style>
  <w:style w:type="table" w:styleId="Grilledutableau">
    <w:name w:val="Table Grid"/>
    <w:basedOn w:val="TableauNormal"/>
    <w:uiPriority w:val="59"/>
    <w:rsid w:val="0022699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basedOn w:val="Policepardfaut"/>
    <w:uiPriority w:val="99"/>
    <w:semiHidden/>
    <w:unhideWhenUsed/>
    <w:rsid w:val="00A84B6E"/>
    <w:rPr>
      <w:sz w:val="16"/>
      <w:szCs w:val="16"/>
    </w:rPr>
  </w:style>
  <w:style w:type="paragraph" w:styleId="Commentaire">
    <w:name w:val="annotation text"/>
    <w:basedOn w:val="Normal"/>
    <w:link w:val="CommentaireCar"/>
    <w:uiPriority w:val="99"/>
    <w:unhideWhenUsed/>
    <w:rsid w:val="00A84B6E"/>
  </w:style>
  <w:style w:type="character" w:customStyle="1" w:styleId="CommentaireCar">
    <w:name w:val="Commentaire Car"/>
    <w:basedOn w:val="Policepardfaut"/>
    <w:link w:val="Commentaire"/>
    <w:uiPriority w:val="99"/>
    <w:rsid w:val="00A84B6E"/>
  </w:style>
  <w:style w:type="paragraph" w:styleId="Objetducommentaire">
    <w:name w:val="annotation subject"/>
    <w:basedOn w:val="Commentaire"/>
    <w:next w:val="Commentaire"/>
    <w:link w:val="ObjetducommentaireCar"/>
    <w:uiPriority w:val="99"/>
    <w:semiHidden/>
    <w:unhideWhenUsed/>
    <w:rsid w:val="00A84B6E"/>
    <w:rPr>
      <w:b/>
      <w:bCs/>
    </w:rPr>
  </w:style>
  <w:style w:type="character" w:customStyle="1" w:styleId="ObjetducommentaireCar">
    <w:name w:val="Objet du commentaire Car"/>
    <w:basedOn w:val="CommentaireCar"/>
    <w:link w:val="Objetducommentaire"/>
    <w:uiPriority w:val="99"/>
    <w:semiHidden/>
    <w:rsid w:val="00A84B6E"/>
    <w:rPr>
      <w:b/>
      <w:bCs/>
    </w:rPr>
  </w:style>
  <w:style w:type="table" w:customStyle="1" w:styleId="Tabellenraster1">
    <w:name w:val="Tabellenraster1"/>
    <w:basedOn w:val="TableauNormal"/>
    <w:next w:val="Grilledutableau"/>
    <w:uiPriority w:val="59"/>
    <w:rsid w:val="00F7176C"/>
    <w:rPr>
      <w:rFonts w:eastAsia="Arial"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tionnonrsolue">
    <w:name w:val="Unresolved Mention"/>
    <w:basedOn w:val="Policepardfaut"/>
    <w:uiPriority w:val="99"/>
    <w:semiHidden/>
    <w:unhideWhenUsed/>
    <w:rsid w:val="006F5440"/>
    <w:rPr>
      <w:color w:val="808080"/>
      <w:shd w:val="clear" w:color="auto" w:fill="E6E6E6"/>
    </w:rPr>
  </w:style>
  <w:style w:type="paragraph" w:styleId="Rvision">
    <w:name w:val="Revision"/>
    <w:hidden/>
    <w:uiPriority w:val="99"/>
    <w:semiHidden/>
    <w:rsid w:val="00796A1E"/>
  </w:style>
  <w:style w:type="paragraph" w:styleId="Paragraphedeliste">
    <w:name w:val="List Paragraph"/>
    <w:basedOn w:val="Normal"/>
    <w:uiPriority w:val="34"/>
    <w:qFormat/>
    <w:rsid w:val="00E015BD"/>
    <w:pPr>
      <w:ind w:left="720"/>
      <w:contextualSpacing/>
    </w:pPr>
  </w:style>
  <w:style w:type="character" w:styleId="Mention">
    <w:name w:val="Mention"/>
    <w:basedOn w:val="Policepardfaut"/>
    <w:uiPriority w:val="99"/>
    <w:unhideWhenUsed/>
    <w:rsid w:val="008B701E"/>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4396307">
      <w:bodyDiv w:val="1"/>
      <w:marLeft w:val="0"/>
      <w:marRight w:val="0"/>
      <w:marTop w:val="0"/>
      <w:marBottom w:val="0"/>
      <w:divBdr>
        <w:top w:val="none" w:sz="0" w:space="0" w:color="auto"/>
        <w:left w:val="none" w:sz="0" w:space="0" w:color="auto"/>
        <w:bottom w:val="none" w:sz="0" w:space="0" w:color="auto"/>
        <w:right w:val="none" w:sz="0" w:space="0" w:color="auto"/>
      </w:divBdr>
    </w:div>
    <w:div w:id="1229615503">
      <w:bodyDiv w:val="1"/>
      <w:marLeft w:val="0"/>
      <w:marRight w:val="0"/>
      <w:marTop w:val="0"/>
      <w:marBottom w:val="0"/>
      <w:divBdr>
        <w:top w:val="none" w:sz="0" w:space="0" w:color="auto"/>
        <w:left w:val="none" w:sz="0" w:space="0" w:color="auto"/>
        <w:bottom w:val="none" w:sz="0" w:space="0" w:color="auto"/>
        <w:right w:val="none" w:sz="0" w:space="0" w:color="auto"/>
      </w:divBdr>
    </w:div>
    <w:div w:id="1712342393">
      <w:bodyDiv w:val="1"/>
      <w:marLeft w:val="0"/>
      <w:marRight w:val="0"/>
      <w:marTop w:val="0"/>
      <w:marBottom w:val="0"/>
      <w:divBdr>
        <w:top w:val="none" w:sz="0" w:space="0" w:color="auto"/>
        <w:left w:val="none" w:sz="0" w:space="0" w:color="auto"/>
        <w:bottom w:val="none" w:sz="0" w:space="0" w:color="auto"/>
        <w:right w:val="none" w:sz="0" w:space="0" w:color="auto"/>
      </w:divBdr>
    </w:div>
    <w:div w:id="2143618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ur02.safelinks.protection.outlook.com/?url=http%3A%2F%2Fwww.basf.com%2F&amp;data=05|02|joerg.zumkley%40basf.com|cc196997c873419e4e9308dce9435e22|ecaa386bc8df4ce0ad01740cbdb5ba55|0|0|638641722757457923|Unknown|TWFpbGZsb3d8eyJWIjoiMC4wLjAwMDAiLCJQIjoiV2luMzIiLCJBTiI6Ik1haWwiLCJXVCI6Mn0%3D|0|||&amp;sdata=iVp4CZ4Toyy%2BYsTE3nGM3hLDePwoRelCEvMBeZ9DYE0%3D&amp;reserved=0"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linkedin.com/showcase/basf-coatings/"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basf-coatings.com"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BASF">
  <a:themeElements>
    <a:clrScheme name="BASF_darkblue">
      <a:dk1>
        <a:srgbClr val="000000"/>
      </a:dk1>
      <a:lt1>
        <a:srgbClr val="FFFFFF"/>
      </a:lt1>
      <a:dk2>
        <a:srgbClr val="002875"/>
      </a:dk2>
      <a:lt2>
        <a:srgbClr val="FFFFFF"/>
      </a:lt2>
      <a:accent1>
        <a:srgbClr val="004A96"/>
      </a:accent1>
      <a:accent2>
        <a:srgbClr val="4472AA"/>
      </a:accent2>
      <a:accent3>
        <a:srgbClr val="7CA0C6"/>
      </a:accent3>
      <a:accent4>
        <a:srgbClr val="A6C0DA"/>
      </a:accent4>
      <a:accent5>
        <a:srgbClr val="E0E9F2"/>
      </a:accent5>
      <a:accent6>
        <a:srgbClr val="808080"/>
      </a:accent6>
      <a:hlink>
        <a:srgbClr val="004A96"/>
      </a:hlink>
      <a:folHlink>
        <a:srgbClr val="A6C0DA"/>
      </a:folHlink>
    </a:clrScheme>
    <a:fontScheme name="Larissa Klassisch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44ae381-4947-4888-896c-dff553babdb7">
      <Terms xmlns="http://schemas.microsoft.com/office/infopath/2007/PartnerControls"/>
    </lcf76f155ced4ddcb4097134ff3c332f>
    <TaxCatchAll xmlns="8902e69f-1930-47e3-a1be-1aab1b79fc3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515665FBE134124EA35218EF43DBD28C" ma:contentTypeVersion="13" ma:contentTypeDescription="Ein neues Dokument erstellen." ma:contentTypeScope="" ma:versionID="d248bcc6199b2f9e6f4813513ac5fb87">
  <xsd:schema xmlns:xsd="http://www.w3.org/2001/XMLSchema" xmlns:xs="http://www.w3.org/2001/XMLSchema" xmlns:p="http://schemas.microsoft.com/office/2006/metadata/properties" xmlns:ns2="b44ae381-4947-4888-896c-dff553babdb7" xmlns:ns3="8902e69f-1930-47e3-a1be-1aab1b79fc3f" targetNamespace="http://schemas.microsoft.com/office/2006/metadata/properties" ma:root="true" ma:fieldsID="06ba9b4b41c88883c9f9d0a22d7d1b70" ns2:_="" ns3:_="">
    <xsd:import namespace="b44ae381-4947-4888-896c-dff553babdb7"/>
    <xsd:import namespace="8902e69f-1930-47e3-a1be-1aab1b79fc3f"/>
    <xsd:element name="properties">
      <xsd:complexType>
        <xsd:sequence>
          <xsd:element name="documentManagement">
            <xsd:complexType>
              <xsd:all>
                <xsd:element ref="ns2:MediaServiceBillingMetadata" minOccurs="0"/>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4ae381-4947-4888-896c-dff553babdb7" elementFormDefault="qualified">
    <xsd:import namespace="http://schemas.microsoft.com/office/2006/documentManagement/types"/>
    <xsd:import namespace="http://schemas.microsoft.com/office/infopath/2007/PartnerControls"/>
    <xsd:element name="MediaServiceBillingMetadata" ma:index="8" nillable="true" ma:displayName="MediaServiceBillingMetadata" ma:hidden="true" ma:internalName="MediaServiceBillingMetadata" ma:readOnly="true">
      <xsd:simpleType>
        <xsd:restriction base="dms:Note"/>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Bildmarkierungen" ma:readOnly="false" ma:fieldId="{5cf76f15-5ced-4ddc-b409-7134ff3c332f}" ma:taxonomyMulti="true" ma:sspId="04f2cd92-8d93-4e4c-83d3-86703d91558f"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902e69f-1930-47e3-a1be-1aab1b79fc3f"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209e3d8a-4b82-47f8-ac72-d648e7640e4c}" ma:internalName="TaxCatchAll" ma:showField="CatchAllData" ma:web="8902e69f-1930-47e3-a1be-1aab1b79fc3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110370-5747-4E22-894F-75CC4F6C0275}">
  <ds:schemaRefs>
    <ds:schemaRef ds:uri="http://schemas.microsoft.com/sharepoint/v3/contenttype/forms"/>
  </ds:schemaRefs>
</ds:datastoreItem>
</file>

<file path=customXml/itemProps2.xml><?xml version="1.0" encoding="utf-8"?>
<ds:datastoreItem xmlns:ds="http://schemas.openxmlformats.org/officeDocument/2006/customXml" ds:itemID="{57914A4D-0720-4FD6-9E1D-C80602BFF58B}">
  <ds:schemaRefs>
    <ds:schemaRef ds:uri="http://schemas.microsoft.com/office/2006/metadata/properties"/>
    <ds:schemaRef ds:uri="http://schemas.microsoft.com/office/infopath/2007/PartnerControls"/>
    <ds:schemaRef ds:uri="b44ae381-4947-4888-896c-dff553babdb7"/>
    <ds:schemaRef ds:uri="8902e69f-1930-47e3-a1be-1aab1b79fc3f"/>
  </ds:schemaRefs>
</ds:datastoreItem>
</file>

<file path=customXml/itemProps3.xml><?xml version="1.0" encoding="utf-8"?>
<ds:datastoreItem xmlns:ds="http://schemas.openxmlformats.org/officeDocument/2006/customXml" ds:itemID="{007A088B-E045-49A4-A251-7FDBEBCFDF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4ae381-4947-4888-896c-dff553babdb7"/>
    <ds:schemaRef ds:uri="8902e69f-1930-47e3-a1be-1aab1b79fc3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035A2AE-9454-4B7E-AA0A-F731CC3E43AB}">
  <ds:schemaRefs>
    <ds:schemaRef ds:uri="http://schemas.openxmlformats.org/officeDocument/2006/bibliography"/>
  </ds:schemaRefs>
</ds:datastoreItem>
</file>

<file path=docMetadata/LabelInfo.xml><?xml version="1.0" encoding="utf-8"?>
<clbl:labelList xmlns:clbl="http://schemas.microsoft.com/office/2020/mipLabelMetadata">
  <clbl:label id="{fd8f657c-1b5d-4225-9de5-62d9d25afec8}" enabled="1" method="Privileged" siteId="{ecaa386b-c8df-4ce0-ad01-740cbdb5ba55}"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4</Pages>
  <Words>996</Words>
  <Characters>5929</Characters>
  <Application>Microsoft Office Word</Application>
  <DocSecurity>0</DocSecurity>
  <Lines>107</Lines>
  <Paragraphs>34</Paragraphs>
  <ScaleCrop>false</ScaleCrop>
  <Company>BASF</Company>
  <LinksUpToDate>false</LinksUpToDate>
  <CharactersWithSpaces>6891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Martina Kunze</dc:creator>
  <cp:keywords/>
  <cp:lastModifiedBy>christiane.solfrini@basf.com</cp:lastModifiedBy>
  <cp:revision>2</cp:revision>
  <cp:lastPrinted>2026-03-17T18:10:00Z</cp:lastPrinted>
  <dcterms:created xsi:type="dcterms:W3CDTF">2026-03-26T11:36:00Z</dcterms:created>
  <dcterms:modified xsi:type="dcterms:W3CDTF">2026-03-26T11:36:00Z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_to_AIP">
    <vt:i4>0</vt:i4>
  </property>
  <property fmtid="{D5CDD505-2E9C-101B-9397-08002B2CF9AE}" pid="3" name="MSIP_Label_06530cf4-8573-4c29-a912-bbcdac835909_Enabled">
    <vt:lpwstr>true</vt:lpwstr>
  </property>
  <property fmtid="{D5CDD505-2E9C-101B-9397-08002B2CF9AE}" pid="4" name="MSIP_Label_06530cf4-8573-4c29-a912-bbcdac835909_SetDate">
    <vt:lpwstr>2024-02-27T07:43:28Z</vt:lpwstr>
  </property>
  <property fmtid="{D5CDD505-2E9C-101B-9397-08002B2CF9AE}" pid="5" name="MSIP_Label_06530cf4-8573-4c29-a912-bbcdac835909_Method">
    <vt:lpwstr>Standard</vt:lpwstr>
  </property>
  <property fmtid="{D5CDD505-2E9C-101B-9397-08002B2CF9AE}" pid="6" name="MSIP_Label_06530cf4-8573-4c29-a912-bbcdac835909_Name">
    <vt:lpwstr>06530cf4-8573-4c29-a912-bbcdac835909</vt:lpwstr>
  </property>
  <property fmtid="{D5CDD505-2E9C-101B-9397-08002B2CF9AE}" pid="7" name="MSIP_Label_06530cf4-8573-4c29-a912-bbcdac835909_SiteId">
    <vt:lpwstr>ecaa386b-c8df-4ce0-ad01-740cbdb5ba55</vt:lpwstr>
  </property>
  <property fmtid="{D5CDD505-2E9C-101B-9397-08002B2CF9AE}" pid="8" name="MSIP_Label_06530cf4-8573-4c29-a912-bbcdac835909_ActionId">
    <vt:lpwstr>a30d461b-f89c-4c28-8822-f12be577de19</vt:lpwstr>
  </property>
  <property fmtid="{D5CDD505-2E9C-101B-9397-08002B2CF9AE}" pid="9" name="MSIP_Label_06530cf4-8573-4c29-a912-bbcdac835909_ContentBits">
    <vt:lpwstr>2</vt:lpwstr>
  </property>
  <property fmtid="{D5CDD505-2E9C-101B-9397-08002B2CF9AE}" pid="10" name="ContentTypeId">
    <vt:lpwstr>0x010100515665FBE134124EA35218EF43DBD28C</vt:lpwstr>
  </property>
  <property fmtid="{D5CDD505-2E9C-101B-9397-08002B2CF9AE}" pid="11" name="MediaServiceImageTags">
    <vt:lpwstr/>
  </property>
  <property fmtid="{D5CDD505-2E9C-101B-9397-08002B2CF9AE}" pid="12" name="docLang">
    <vt:lpwstr>en</vt:lpwstr>
  </property>
</Properties>
</file>