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70E9" w14:textId="77777777" w:rsidR="004E6634" w:rsidRDefault="0004243A" w:rsidP="0004243A">
      <w:pPr>
        <w:tabs>
          <w:tab w:val="left" w:pos="2923"/>
        </w:tabs>
        <w:spacing w:before="1600"/>
      </w:pPr>
      <w:r>
        <w:tab/>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2099"/>
      </w:tblGrid>
      <w:tr w:rsidR="004E6634" w:rsidRPr="00A84B6E" w14:paraId="64EBCBF5" w14:textId="77777777" w:rsidTr="00867E5B">
        <w:trPr>
          <w:trHeight w:val="678"/>
        </w:trPr>
        <w:tc>
          <w:tcPr>
            <w:tcW w:w="6973" w:type="dxa"/>
          </w:tcPr>
          <w:p w14:paraId="42A86439" w14:textId="77777777" w:rsidR="004E6634" w:rsidRPr="004E6634" w:rsidRDefault="0019436C" w:rsidP="004E6634">
            <w:pPr>
              <w:pStyle w:val="Titel1"/>
              <w:widowControl w:val="0"/>
              <w:spacing w:before="240"/>
              <w:ind w:right="0"/>
              <w:rPr>
                <w:b/>
                <w:sz w:val="60"/>
                <w:szCs w:val="60"/>
              </w:rPr>
            </w:pPr>
            <w:r w:rsidRPr="00EA0F3D">
              <w:rPr>
                <w:rFonts w:cs="Arial"/>
                <w:b/>
                <w:sz w:val="60"/>
                <w:szCs w:val="60"/>
                <w:lang w:val="fr-FR"/>
              </w:rPr>
              <w:t>Communiqué de presse</w:t>
            </w:r>
          </w:p>
        </w:tc>
        <w:tc>
          <w:tcPr>
            <w:tcW w:w="2099" w:type="dxa"/>
          </w:tcPr>
          <w:p w14:paraId="5119C6C8" w14:textId="1746047C" w:rsidR="004E6634" w:rsidRPr="00A84B6E" w:rsidRDefault="004E6634" w:rsidP="004E6634">
            <w:pPr>
              <w:tabs>
                <w:tab w:val="left" w:pos="983"/>
              </w:tabs>
              <w:spacing w:line="240" w:lineRule="exact"/>
              <w:jc w:val="right"/>
              <w:rPr>
                <w:rFonts w:eastAsia="Calibri" w:cs="Times New Roman"/>
                <w:color w:val="808080" w:themeColor="background1" w:themeShade="80"/>
                <w:sz w:val="18"/>
                <w:szCs w:val="18"/>
                <w:lang w:val="en-US"/>
              </w:rPr>
            </w:pPr>
            <w:r w:rsidRPr="00A84B6E">
              <w:rPr>
                <w:rFonts w:eastAsia="Calibri" w:cs="Times New Roman"/>
                <w:color w:val="808080" w:themeColor="background1" w:themeShade="80"/>
                <w:sz w:val="18"/>
                <w:szCs w:val="18"/>
                <w:lang w:val="en-US"/>
              </w:rPr>
              <w:br/>
            </w:r>
            <w:r w:rsidR="00867E5B">
              <w:rPr>
                <w:rFonts w:eastAsia="Calibri" w:cs="Times New Roman"/>
                <w:color w:val="808080" w:themeColor="background1" w:themeShade="80"/>
                <w:sz w:val="18"/>
                <w:szCs w:val="18"/>
                <w:lang w:val="en-US"/>
              </w:rPr>
              <w:t>25 février 2022</w:t>
            </w:r>
          </w:p>
        </w:tc>
      </w:tr>
    </w:tbl>
    <w:p w14:paraId="101AC851" w14:textId="77777777" w:rsidR="00D02BE2" w:rsidRPr="00D02BE2" w:rsidRDefault="00D02BE2" w:rsidP="00D02BE2">
      <w:pPr>
        <w:pStyle w:val="Default"/>
        <w:jc w:val="center"/>
        <w:rPr>
          <w:rFonts w:asciiTheme="minorHAnsi" w:hAnsiTheme="minorHAnsi" w:cstheme="minorHAnsi"/>
          <w:b/>
          <w:bCs/>
          <w:color w:val="auto"/>
        </w:rPr>
      </w:pPr>
    </w:p>
    <w:p w14:paraId="446FFA2B" w14:textId="77777777" w:rsidR="00867E5B" w:rsidRDefault="00867E5B" w:rsidP="00867E5B">
      <w:pPr>
        <w:spacing w:after="238" w:line="220" w:lineRule="exact"/>
      </w:pPr>
      <w:r>
        <w:rPr>
          <w:rStyle w:val="Corpsdutexte20"/>
        </w:rPr>
        <w:t>Groupe BASF : rapport sur l’exercice 2021</w:t>
      </w:r>
    </w:p>
    <w:p w14:paraId="29404797" w14:textId="77777777" w:rsidR="00867E5B" w:rsidRPr="00867E5B" w:rsidRDefault="00867E5B" w:rsidP="00273D23">
      <w:pPr>
        <w:pStyle w:val="Default"/>
        <w:rPr>
          <w:rFonts w:asciiTheme="minorHAnsi" w:hAnsiTheme="minorHAnsi" w:cstheme="minorHAnsi"/>
          <w:b/>
          <w:bCs/>
          <w:color w:val="auto"/>
          <w:sz w:val="28"/>
          <w:szCs w:val="28"/>
          <w:lang w:val="de-DE"/>
        </w:rPr>
      </w:pPr>
    </w:p>
    <w:p w14:paraId="167FEB3B" w14:textId="77777777" w:rsidR="00867E5B" w:rsidRDefault="00867E5B" w:rsidP="00273D23">
      <w:pPr>
        <w:pStyle w:val="Default"/>
        <w:rPr>
          <w:rFonts w:asciiTheme="minorHAnsi" w:hAnsiTheme="minorHAnsi" w:cstheme="minorHAnsi"/>
          <w:b/>
          <w:bCs/>
          <w:color w:val="auto"/>
          <w:sz w:val="28"/>
          <w:szCs w:val="28"/>
        </w:rPr>
      </w:pPr>
    </w:p>
    <w:p w14:paraId="3B895C88" w14:textId="1C6D45FC" w:rsidR="00D02BE2" w:rsidRDefault="00867E5B" w:rsidP="00D02BE2">
      <w:pPr>
        <w:pStyle w:val="Default"/>
        <w:rPr>
          <w:rFonts w:asciiTheme="minorHAnsi" w:hAnsiTheme="minorHAnsi" w:cstheme="minorHAnsi"/>
          <w:b/>
          <w:bCs/>
          <w:color w:val="auto"/>
        </w:rPr>
      </w:pPr>
      <w:r w:rsidRPr="00867E5B">
        <w:rPr>
          <w:rFonts w:asciiTheme="minorHAnsi" w:hAnsiTheme="minorHAnsi" w:cstheme="minorHAnsi"/>
          <w:b/>
          <w:bCs/>
          <w:color w:val="auto"/>
          <w:sz w:val="28"/>
          <w:szCs w:val="28"/>
        </w:rPr>
        <w:t>BASF enregistre une forte croissance de son résultat en 2021</w:t>
      </w:r>
    </w:p>
    <w:p w14:paraId="48A7B30F" w14:textId="648D2C20" w:rsidR="00D02BE2" w:rsidRDefault="00D02BE2" w:rsidP="00D02BE2">
      <w:pPr>
        <w:pStyle w:val="Default"/>
        <w:rPr>
          <w:rFonts w:asciiTheme="minorHAnsi" w:hAnsiTheme="minorHAnsi" w:cstheme="minorHAnsi"/>
          <w:b/>
          <w:bCs/>
          <w:color w:val="auto"/>
        </w:rPr>
      </w:pPr>
    </w:p>
    <w:p w14:paraId="0413A47E" w14:textId="77777777" w:rsidR="00867E5B" w:rsidRPr="00867E5B" w:rsidRDefault="00867E5B" w:rsidP="00867E5B">
      <w:pPr>
        <w:pStyle w:val="Corpsdutexte50"/>
        <w:numPr>
          <w:ilvl w:val="0"/>
          <w:numId w:val="4"/>
        </w:numPr>
        <w:shd w:val="clear" w:color="auto" w:fill="auto"/>
        <w:tabs>
          <w:tab w:val="left" w:pos="339"/>
        </w:tabs>
        <w:spacing w:before="0"/>
        <w:rPr>
          <w:sz w:val="24"/>
          <w:szCs w:val="24"/>
          <w:lang w:val="fr-FR"/>
        </w:rPr>
      </w:pPr>
      <w:r w:rsidRPr="00867E5B">
        <w:rPr>
          <w:sz w:val="24"/>
          <w:szCs w:val="24"/>
          <w:lang w:val="fr-FR"/>
        </w:rPr>
        <w:t>Chiffre d’affaires : 78,6 milliards d’euros (plus 33 pour cent)</w:t>
      </w:r>
    </w:p>
    <w:p w14:paraId="009A1938" w14:textId="77777777" w:rsidR="00867E5B" w:rsidRPr="00867E5B" w:rsidRDefault="00867E5B" w:rsidP="00867E5B">
      <w:pPr>
        <w:pStyle w:val="Corpsdutexte50"/>
        <w:numPr>
          <w:ilvl w:val="0"/>
          <w:numId w:val="4"/>
        </w:numPr>
        <w:shd w:val="clear" w:color="auto" w:fill="auto"/>
        <w:tabs>
          <w:tab w:val="left" w:pos="339"/>
        </w:tabs>
        <w:spacing w:before="0"/>
        <w:rPr>
          <w:sz w:val="24"/>
          <w:szCs w:val="24"/>
          <w:lang w:val="fr-FR"/>
        </w:rPr>
      </w:pPr>
      <w:r w:rsidRPr="00867E5B">
        <w:rPr>
          <w:sz w:val="24"/>
          <w:szCs w:val="24"/>
          <w:lang w:val="fr-FR"/>
        </w:rPr>
        <w:t>EBIT avant effets exceptionnels : 7,8 milliards d’euros (plus 118 pour cent)</w:t>
      </w:r>
    </w:p>
    <w:p w14:paraId="32C62999" w14:textId="77777777" w:rsidR="00867E5B" w:rsidRPr="00867E5B" w:rsidRDefault="00867E5B" w:rsidP="00867E5B">
      <w:pPr>
        <w:pStyle w:val="Corpsdutexte50"/>
        <w:numPr>
          <w:ilvl w:val="0"/>
          <w:numId w:val="4"/>
        </w:numPr>
        <w:shd w:val="clear" w:color="auto" w:fill="auto"/>
        <w:tabs>
          <w:tab w:val="left" w:pos="339"/>
        </w:tabs>
        <w:spacing w:before="0"/>
        <w:rPr>
          <w:sz w:val="24"/>
          <w:szCs w:val="24"/>
          <w:lang w:val="fr-FR"/>
        </w:rPr>
      </w:pPr>
      <w:r w:rsidRPr="00867E5B">
        <w:rPr>
          <w:sz w:val="24"/>
          <w:szCs w:val="24"/>
          <w:lang w:val="fr-FR"/>
        </w:rPr>
        <w:t xml:space="preserve">Flux de trésorerie lié aux activités d’exploitation : 7,2 milliards d’euros (plus 34 pour cent) ; flux de trésorerie disponible : 3,7 milliards d’euros (plus 63 pour cent) </w:t>
      </w:r>
    </w:p>
    <w:p w14:paraId="7736AB85" w14:textId="6D220963" w:rsidR="00867E5B" w:rsidRDefault="00867E5B" w:rsidP="00867E5B">
      <w:pPr>
        <w:pStyle w:val="Corpsdutexte50"/>
        <w:numPr>
          <w:ilvl w:val="0"/>
          <w:numId w:val="4"/>
        </w:numPr>
        <w:shd w:val="clear" w:color="auto" w:fill="auto"/>
        <w:tabs>
          <w:tab w:val="left" w:pos="339"/>
        </w:tabs>
        <w:spacing w:before="0"/>
        <w:rPr>
          <w:sz w:val="24"/>
          <w:szCs w:val="24"/>
          <w:lang w:val="fr-FR"/>
        </w:rPr>
      </w:pPr>
      <w:r w:rsidRPr="00867E5B">
        <w:rPr>
          <w:sz w:val="24"/>
          <w:szCs w:val="24"/>
          <w:lang w:val="fr-FR"/>
        </w:rPr>
        <w:t>Proposition de dividende de 3,40 € pour l’exercice 2021</w:t>
      </w:r>
      <w:r w:rsidRPr="00867E5B">
        <w:rPr>
          <w:sz w:val="24"/>
          <w:szCs w:val="24"/>
          <w:lang w:val="fr-FR"/>
        </w:rPr>
        <w:br/>
        <w:t>(2020 : 3,30 € par action)</w:t>
      </w:r>
    </w:p>
    <w:p w14:paraId="4DCEFEFE" w14:textId="77777777" w:rsidR="00867E5B" w:rsidRPr="00867E5B" w:rsidRDefault="00867E5B" w:rsidP="00867E5B">
      <w:pPr>
        <w:pStyle w:val="Corpsdutexte50"/>
        <w:shd w:val="clear" w:color="auto" w:fill="auto"/>
        <w:tabs>
          <w:tab w:val="left" w:pos="339"/>
        </w:tabs>
        <w:spacing w:before="0"/>
        <w:ind w:left="360" w:firstLine="0"/>
        <w:rPr>
          <w:sz w:val="24"/>
          <w:szCs w:val="24"/>
          <w:lang w:val="fr-FR"/>
        </w:rPr>
      </w:pPr>
    </w:p>
    <w:p w14:paraId="075F09F7" w14:textId="77777777" w:rsidR="00867E5B" w:rsidRPr="00867E5B" w:rsidRDefault="00867E5B" w:rsidP="00867E5B">
      <w:pPr>
        <w:pStyle w:val="Corpsdutexte50"/>
        <w:shd w:val="clear" w:color="auto" w:fill="auto"/>
        <w:spacing w:before="0"/>
        <w:ind w:firstLine="0"/>
        <w:rPr>
          <w:sz w:val="24"/>
          <w:szCs w:val="24"/>
          <w:lang w:val="fr-FR"/>
        </w:rPr>
      </w:pPr>
      <w:r w:rsidRPr="00867E5B">
        <w:rPr>
          <w:sz w:val="24"/>
          <w:szCs w:val="24"/>
          <w:lang w:val="fr-FR"/>
        </w:rPr>
        <w:t>Perspectives 2022 :</w:t>
      </w:r>
    </w:p>
    <w:p w14:paraId="640DEF2B" w14:textId="77777777" w:rsidR="00867E5B" w:rsidRPr="00867E5B" w:rsidRDefault="00867E5B" w:rsidP="00867E5B">
      <w:pPr>
        <w:pStyle w:val="Corpsdutexte50"/>
        <w:numPr>
          <w:ilvl w:val="0"/>
          <w:numId w:val="4"/>
        </w:numPr>
        <w:shd w:val="clear" w:color="auto" w:fill="auto"/>
        <w:tabs>
          <w:tab w:val="left" w:pos="339"/>
        </w:tabs>
        <w:spacing w:before="0"/>
        <w:rPr>
          <w:sz w:val="24"/>
          <w:szCs w:val="24"/>
          <w:lang w:val="fr-FR"/>
        </w:rPr>
      </w:pPr>
      <w:r w:rsidRPr="00867E5B">
        <w:rPr>
          <w:sz w:val="24"/>
          <w:szCs w:val="24"/>
          <w:lang w:val="fr-FR"/>
        </w:rPr>
        <w:t>Chiffre d’affaires compris entre 74 et 77 milliards d’euros</w:t>
      </w:r>
    </w:p>
    <w:p w14:paraId="059D256F" w14:textId="77777777" w:rsidR="00867E5B" w:rsidRPr="00867E5B" w:rsidRDefault="00867E5B" w:rsidP="00867E5B">
      <w:pPr>
        <w:pStyle w:val="Corpsdutexte50"/>
        <w:numPr>
          <w:ilvl w:val="0"/>
          <w:numId w:val="4"/>
        </w:numPr>
        <w:shd w:val="clear" w:color="auto" w:fill="auto"/>
        <w:tabs>
          <w:tab w:val="left" w:pos="339"/>
        </w:tabs>
        <w:spacing w:before="0"/>
        <w:rPr>
          <w:sz w:val="24"/>
          <w:szCs w:val="24"/>
          <w:lang w:val="fr-FR"/>
        </w:rPr>
      </w:pPr>
      <w:r w:rsidRPr="00867E5B">
        <w:rPr>
          <w:sz w:val="24"/>
          <w:szCs w:val="24"/>
          <w:lang w:val="fr-FR"/>
        </w:rPr>
        <w:t>EBIT avant effets exceptionnels compris entre 6,6 et 7,2 milliards d’euros</w:t>
      </w:r>
    </w:p>
    <w:p w14:paraId="78B1BA82" w14:textId="77777777" w:rsidR="00867E5B" w:rsidRPr="00867E5B" w:rsidRDefault="00867E5B" w:rsidP="00867E5B">
      <w:pPr>
        <w:pStyle w:val="Corpsdutexte50"/>
        <w:numPr>
          <w:ilvl w:val="0"/>
          <w:numId w:val="4"/>
        </w:numPr>
        <w:shd w:val="clear" w:color="auto" w:fill="auto"/>
        <w:tabs>
          <w:tab w:val="left" w:pos="339"/>
        </w:tabs>
        <w:spacing w:before="0"/>
        <w:rPr>
          <w:sz w:val="24"/>
          <w:szCs w:val="24"/>
          <w:lang w:val="fr-FR"/>
        </w:rPr>
      </w:pPr>
      <w:r w:rsidRPr="00867E5B">
        <w:rPr>
          <w:sz w:val="24"/>
          <w:szCs w:val="24"/>
          <w:lang w:val="fr-FR"/>
        </w:rPr>
        <w:t>ROCE compris entre 11,4 et 12,6 pour cent</w:t>
      </w:r>
    </w:p>
    <w:p w14:paraId="62236CD9" w14:textId="0B6A505B" w:rsidR="00867E5B" w:rsidRDefault="00867E5B" w:rsidP="00867E5B">
      <w:pPr>
        <w:pStyle w:val="Bullets"/>
        <w:widowControl w:val="0"/>
        <w:numPr>
          <w:ilvl w:val="0"/>
          <w:numId w:val="4"/>
        </w:numPr>
        <w:spacing w:line="240" w:lineRule="auto"/>
        <w:ind w:right="0"/>
        <w:rPr>
          <w:lang w:val="fr-FR"/>
        </w:rPr>
      </w:pPr>
      <w:r w:rsidRPr="00867E5B">
        <w:rPr>
          <w:lang w:val="fr-FR"/>
        </w:rPr>
        <w:t>Émissions de CO</w:t>
      </w:r>
      <w:r w:rsidRPr="00867E5B">
        <w:rPr>
          <w:rStyle w:val="Corpsdutexte58ptNonGras"/>
          <w:sz w:val="24"/>
          <w:szCs w:val="24"/>
        </w:rPr>
        <w:t>2</w:t>
      </w:r>
      <w:r w:rsidRPr="00867E5B">
        <w:rPr>
          <w:lang w:val="fr-FR"/>
        </w:rPr>
        <w:t xml:space="preserve"> comprises entre 19,6 et 20,6 millions de tonnes</w:t>
      </w:r>
    </w:p>
    <w:p w14:paraId="241DEE33" w14:textId="77777777" w:rsidR="00867E5B" w:rsidRDefault="00867E5B" w:rsidP="006B0B6C">
      <w:pPr>
        <w:pStyle w:val="Default"/>
        <w:spacing w:line="360" w:lineRule="auto"/>
        <w:jc w:val="both"/>
        <w:rPr>
          <w:rFonts w:asciiTheme="minorHAnsi" w:hAnsiTheme="minorHAnsi" w:cstheme="minorHAnsi"/>
          <w:color w:val="auto"/>
        </w:rPr>
      </w:pPr>
    </w:p>
    <w:p w14:paraId="7BF03648" w14:textId="293B75AA" w:rsidR="00867E5B" w:rsidRDefault="00867E5B" w:rsidP="006B0B6C">
      <w:pPr>
        <w:pStyle w:val="Default"/>
        <w:spacing w:line="360" w:lineRule="auto"/>
        <w:jc w:val="both"/>
        <w:rPr>
          <w:rFonts w:asciiTheme="minorHAnsi" w:hAnsiTheme="minorHAnsi" w:cstheme="minorHAnsi"/>
          <w:color w:val="auto"/>
        </w:rPr>
      </w:pPr>
      <w:r w:rsidRPr="00867E5B">
        <w:rPr>
          <w:rFonts w:asciiTheme="minorHAnsi" w:hAnsiTheme="minorHAnsi" w:cstheme="minorHAnsi"/>
          <w:color w:val="auto"/>
        </w:rPr>
        <w:t xml:space="preserve">Le groupe BASF a considérablement accru son chiffre d’affaires et son résultat durant l’exercice 2021. « Cette année a été synonyme de performances et de réussite pour BASF », a déclaré le Dr Martin Brudermüller, Président du conseil </w:t>
      </w:r>
      <w:r w:rsidRPr="00867E5B">
        <w:rPr>
          <w:rFonts w:asciiTheme="minorHAnsi" w:hAnsiTheme="minorHAnsi" w:cstheme="minorHAnsi"/>
          <w:color w:val="auto"/>
        </w:rPr>
        <w:lastRenderedPageBreak/>
        <w:t>d’administration, qui a présenté le rapport BASF pour 2021 avec le Dr Hans-Ulrich Engel, Directeur financier.</w:t>
      </w:r>
    </w:p>
    <w:p w14:paraId="691DBB6B" w14:textId="77777777" w:rsidR="00867E5B" w:rsidRDefault="00867E5B" w:rsidP="006B0B6C">
      <w:pPr>
        <w:pStyle w:val="Default"/>
        <w:spacing w:line="360" w:lineRule="auto"/>
        <w:jc w:val="both"/>
        <w:rPr>
          <w:rFonts w:asciiTheme="minorHAnsi" w:hAnsiTheme="minorHAnsi" w:cstheme="minorHAnsi"/>
          <w:color w:val="auto"/>
        </w:rPr>
      </w:pPr>
    </w:p>
    <w:p w14:paraId="0CC00755" w14:textId="7E62A406" w:rsidR="00867E5B" w:rsidRDefault="00867E5B" w:rsidP="006B0B6C">
      <w:pPr>
        <w:pStyle w:val="Default"/>
        <w:spacing w:line="360" w:lineRule="auto"/>
        <w:jc w:val="both"/>
        <w:rPr>
          <w:rFonts w:asciiTheme="minorHAnsi" w:hAnsiTheme="minorHAnsi" w:cstheme="minorHAnsi"/>
          <w:color w:val="auto"/>
        </w:rPr>
      </w:pPr>
      <w:r w:rsidRPr="00867E5B">
        <w:rPr>
          <w:rFonts w:asciiTheme="minorHAnsi" w:hAnsiTheme="minorHAnsi" w:cstheme="minorHAnsi"/>
          <w:color w:val="auto"/>
        </w:rPr>
        <w:t>« Nos prix de vente ont augmenté de 25 pour cent et nos volumes de 11 pour cent. Cette croissance en valeur et en volume a été commune à tous les segments en 2021 », a précisé M. Brudermüller. Le chiffre d’affaires du groupe BASF s’est élevé à 78,6 milliards d’euros en 2021, soit 33 pour cent de plus que l’année précédente.</w:t>
      </w:r>
    </w:p>
    <w:p w14:paraId="390E5912" w14:textId="767BD65C" w:rsidR="00867E5B" w:rsidRDefault="00867E5B" w:rsidP="006B0B6C">
      <w:pPr>
        <w:pStyle w:val="Default"/>
        <w:spacing w:line="360" w:lineRule="auto"/>
        <w:jc w:val="both"/>
        <w:rPr>
          <w:rFonts w:asciiTheme="minorHAnsi" w:hAnsiTheme="minorHAnsi" w:cstheme="minorHAnsi"/>
          <w:color w:val="auto"/>
        </w:rPr>
      </w:pPr>
    </w:p>
    <w:p w14:paraId="159D5404" w14:textId="4252116C" w:rsidR="00867E5B" w:rsidRDefault="00867E5B" w:rsidP="00867E5B">
      <w:pPr>
        <w:pStyle w:val="Default"/>
        <w:spacing w:line="360" w:lineRule="auto"/>
        <w:jc w:val="both"/>
        <w:rPr>
          <w:rFonts w:asciiTheme="minorHAnsi" w:hAnsiTheme="minorHAnsi" w:cstheme="minorHAnsi"/>
          <w:color w:val="auto"/>
        </w:rPr>
      </w:pPr>
      <w:r w:rsidRPr="00867E5B">
        <w:rPr>
          <w:rFonts w:asciiTheme="minorHAnsi" w:hAnsiTheme="minorHAnsi" w:cstheme="minorHAnsi"/>
          <w:color w:val="auto"/>
        </w:rPr>
        <w:t>En 2021, le résultat avant intérêts, impôts et amortissements (EBITDA) avant effets exceptionnels a augmenté de 3,9 milliards d’euros pour atteindre 11,3 milliards d’euros et l’EBITDA a dépassé de 4,9 milliards d’euros celui de l’année précédente pour s’établir à 11,4 milliards d’euros.</w:t>
      </w:r>
    </w:p>
    <w:p w14:paraId="61733480" w14:textId="77777777" w:rsidR="00867E5B" w:rsidRPr="00867E5B" w:rsidRDefault="00867E5B" w:rsidP="00867E5B">
      <w:pPr>
        <w:pStyle w:val="Default"/>
        <w:spacing w:line="360" w:lineRule="auto"/>
        <w:jc w:val="both"/>
        <w:rPr>
          <w:rFonts w:asciiTheme="minorHAnsi" w:hAnsiTheme="minorHAnsi" w:cstheme="minorHAnsi"/>
          <w:color w:val="auto"/>
        </w:rPr>
      </w:pPr>
    </w:p>
    <w:p w14:paraId="4FACDE6A" w14:textId="0BD8C210" w:rsidR="00867E5B" w:rsidRDefault="00867E5B" w:rsidP="00867E5B">
      <w:pPr>
        <w:pStyle w:val="Default"/>
        <w:spacing w:line="360" w:lineRule="auto"/>
        <w:jc w:val="both"/>
        <w:rPr>
          <w:rFonts w:asciiTheme="minorHAnsi" w:hAnsiTheme="minorHAnsi" w:cstheme="minorHAnsi"/>
          <w:color w:val="auto"/>
        </w:rPr>
      </w:pPr>
      <w:r w:rsidRPr="00867E5B">
        <w:rPr>
          <w:rFonts w:asciiTheme="minorHAnsi" w:hAnsiTheme="minorHAnsi" w:cstheme="minorHAnsi"/>
          <w:color w:val="auto"/>
        </w:rPr>
        <w:t>En montant à 7,8 milliards d’euros, le résultat des activités d’exploitation (EBIT) avant effets exceptionnels a plus que doublé en glissement annuel. Il affiche ainsi une hausse de 67 pour cent par rapport à son niveau de 2019, avant la pandémie. L’évolution positive du résultat de BASF est principalement due aux segments Produits chimiques et Matériaux. Les segments Technologies de surface et Solutions industrielles ont aussi considérablement contribué à cette solide reprise.</w:t>
      </w:r>
    </w:p>
    <w:p w14:paraId="1599A4C0" w14:textId="77777777" w:rsidR="00867E5B" w:rsidRPr="00867E5B" w:rsidRDefault="00867E5B" w:rsidP="00867E5B">
      <w:pPr>
        <w:pStyle w:val="Default"/>
        <w:spacing w:line="360" w:lineRule="auto"/>
        <w:jc w:val="both"/>
        <w:rPr>
          <w:rFonts w:asciiTheme="minorHAnsi" w:hAnsiTheme="minorHAnsi" w:cstheme="minorHAnsi"/>
          <w:color w:val="auto"/>
        </w:rPr>
      </w:pPr>
    </w:p>
    <w:p w14:paraId="07DB8AED" w14:textId="6D240091" w:rsidR="00867E5B" w:rsidRDefault="00867E5B" w:rsidP="00867E5B">
      <w:pPr>
        <w:pStyle w:val="Default"/>
        <w:spacing w:line="360" w:lineRule="auto"/>
        <w:jc w:val="both"/>
        <w:rPr>
          <w:rFonts w:asciiTheme="minorHAnsi" w:hAnsiTheme="minorHAnsi" w:cstheme="minorHAnsi"/>
          <w:color w:val="auto"/>
        </w:rPr>
      </w:pPr>
      <w:r w:rsidRPr="00867E5B">
        <w:rPr>
          <w:rFonts w:asciiTheme="minorHAnsi" w:hAnsiTheme="minorHAnsi" w:cstheme="minorHAnsi"/>
          <w:color w:val="auto"/>
        </w:rPr>
        <w:t>Le rendement des capitaux employés (ROCE) a été de 13,5 pour cent (contre 1,7 pour cent l’année précédente), nettement au-dessus du taux du coût du capital (9 pour cent). Cette augmentation du ROCE résultait essentiellement d’une progression significative de l’EBIT en glissement annuel (7,7 milliards d’euros en 2021).</w:t>
      </w:r>
    </w:p>
    <w:p w14:paraId="5933F3BA" w14:textId="098A6B4A" w:rsidR="00867E5B" w:rsidRDefault="00867E5B" w:rsidP="00867E5B">
      <w:pPr>
        <w:pStyle w:val="Default"/>
        <w:spacing w:line="360" w:lineRule="auto"/>
        <w:jc w:val="both"/>
        <w:rPr>
          <w:rFonts w:asciiTheme="minorHAnsi" w:hAnsiTheme="minorHAnsi" w:cstheme="minorHAnsi"/>
          <w:color w:val="auto"/>
        </w:rPr>
      </w:pPr>
    </w:p>
    <w:p w14:paraId="2A20E095" w14:textId="77777777" w:rsidR="00867E5B" w:rsidRPr="00867E5B" w:rsidRDefault="00867E5B" w:rsidP="00867E5B">
      <w:pPr>
        <w:pStyle w:val="Titre21"/>
        <w:keepNext/>
        <w:keepLines/>
        <w:shd w:val="clear" w:color="auto" w:fill="auto"/>
        <w:spacing w:before="0" w:after="155" w:line="240" w:lineRule="exact"/>
        <w:rPr>
          <w:sz w:val="24"/>
          <w:szCs w:val="24"/>
          <w:lang w:val="fr-FR"/>
        </w:rPr>
      </w:pPr>
      <w:bookmarkStart w:id="0" w:name="bookmark2"/>
      <w:r w:rsidRPr="00867E5B">
        <w:rPr>
          <w:sz w:val="24"/>
          <w:szCs w:val="24"/>
          <w:lang w:val="fr-FR"/>
        </w:rPr>
        <w:t>Coûts supplémentaires dus à la hausse des prix de l’énergie en Europe</w:t>
      </w:r>
      <w:bookmarkEnd w:id="0"/>
    </w:p>
    <w:p w14:paraId="4A547F6E" w14:textId="77777777" w:rsidR="00867E5B" w:rsidRPr="00867E5B" w:rsidRDefault="00867E5B" w:rsidP="00867E5B">
      <w:pPr>
        <w:spacing w:after="120" w:line="413" w:lineRule="exact"/>
        <w:jc w:val="both"/>
        <w:rPr>
          <w:rFonts w:cs="Arial"/>
          <w:sz w:val="24"/>
          <w:szCs w:val="24"/>
          <w:lang w:val="fr-FR"/>
        </w:rPr>
      </w:pPr>
      <w:r w:rsidRPr="00867E5B">
        <w:rPr>
          <w:rFonts w:cs="Arial"/>
          <w:sz w:val="24"/>
          <w:szCs w:val="24"/>
          <w:lang w:val="fr-FR"/>
        </w:rPr>
        <w:t>La pénurie de semi-conducteurs continue à nuire aux activités de BASF liées au secteur automobile. En 2021, notamment au quatrième trimestre, la hausse des prix des matières premières ainsi que celle des coûts dans les domaines de l’énergie et de la logistique ont aussi entravé l’évolution du résultat dans tous les segments. Sur les sites européens de BASF, les coûts supplémentaires dus à la poursuite de la hausse des tarifs du gaz naturel en 2021 ont avoisiné 1,5 milliard d’euros, dont 800 millions au seul quatrième trimestre.</w:t>
      </w:r>
    </w:p>
    <w:p w14:paraId="26A98DDB" w14:textId="77777777" w:rsidR="00867E5B" w:rsidRPr="00867E5B" w:rsidRDefault="00867E5B" w:rsidP="00867E5B">
      <w:pPr>
        <w:spacing w:after="240" w:line="413" w:lineRule="exact"/>
        <w:jc w:val="both"/>
        <w:rPr>
          <w:rFonts w:cs="Arial"/>
          <w:sz w:val="24"/>
          <w:szCs w:val="24"/>
          <w:lang w:val="fr-FR"/>
        </w:rPr>
      </w:pPr>
      <w:r w:rsidRPr="00867E5B">
        <w:rPr>
          <w:rFonts w:cs="Arial"/>
          <w:sz w:val="24"/>
          <w:szCs w:val="24"/>
          <w:lang w:val="fr-FR"/>
        </w:rPr>
        <w:lastRenderedPageBreak/>
        <w:t>M. Brudermüller a fait l’annonce suivante : « Nous augmenterons de nouveau sensiblement nos prix au cours des mois à venir afin de répercuter la hausse considérable des coûts tout en améliorant nos marges dans nos activités en aval. » Les procédures tarifaires en vigueur pour ces activités induisent un retard dans la répercussion des coûts.</w:t>
      </w:r>
    </w:p>
    <w:p w14:paraId="51B3DDCE" w14:textId="77777777" w:rsidR="00867E5B" w:rsidRPr="00867E5B" w:rsidRDefault="00867E5B" w:rsidP="00867E5B">
      <w:pPr>
        <w:pStyle w:val="Titre21"/>
        <w:keepNext/>
        <w:keepLines/>
        <w:shd w:val="clear" w:color="auto" w:fill="auto"/>
        <w:spacing w:before="0" w:after="160" w:line="240" w:lineRule="exact"/>
        <w:rPr>
          <w:sz w:val="24"/>
          <w:szCs w:val="24"/>
          <w:lang w:val="fr-FR"/>
        </w:rPr>
      </w:pPr>
      <w:bookmarkStart w:id="1" w:name="bookmark3"/>
      <w:r w:rsidRPr="00867E5B">
        <w:rPr>
          <w:sz w:val="24"/>
          <w:szCs w:val="24"/>
          <w:lang w:val="fr-FR"/>
        </w:rPr>
        <w:t>Trésorerie du groupe BASF pour l’exercice et le quatrième trimestre 2021</w:t>
      </w:r>
      <w:bookmarkEnd w:id="1"/>
    </w:p>
    <w:p w14:paraId="7C50FA1B" w14:textId="77777777" w:rsidR="00867E5B" w:rsidRPr="00867E5B" w:rsidRDefault="00867E5B" w:rsidP="00867E5B">
      <w:pPr>
        <w:spacing w:line="413" w:lineRule="exact"/>
        <w:jc w:val="both"/>
        <w:rPr>
          <w:rFonts w:cs="Arial"/>
          <w:sz w:val="24"/>
          <w:szCs w:val="24"/>
          <w:lang w:val="fr-FR"/>
        </w:rPr>
      </w:pPr>
      <w:r w:rsidRPr="00867E5B">
        <w:rPr>
          <w:rFonts w:cs="Arial"/>
          <w:sz w:val="24"/>
          <w:szCs w:val="24"/>
          <w:lang w:val="fr-FR"/>
        </w:rPr>
        <w:t>Le flux de trésorerie lié aux activités d’exploitation s’est élevé à 7,2 milliards d’euros en 2021, contre 5,4 milliards d’euros l’année précédente. Cette augmentation notable était principalement due à la progression du résultat net, qui a atteint 5,5 milliards d’euros. De 2020 à 2021, le flux de trésorerie disponible est passé de 2,3 à 3,7 milliards d’euros.</w:t>
      </w:r>
    </w:p>
    <w:p w14:paraId="4997C895" w14:textId="77777777" w:rsidR="00867E5B" w:rsidRPr="00867E5B" w:rsidRDefault="00867E5B" w:rsidP="00867E5B">
      <w:pPr>
        <w:spacing w:after="318" w:line="413" w:lineRule="exact"/>
        <w:jc w:val="both"/>
        <w:rPr>
          <w:rFonts w:cs="Arial"/>
          <w:sz w:val="24"/>
          <w:szCs w:val="24"/>
          <w:lang w:val="fr-FR"/>
        </w:rPr>
      </w:pPr>
      <w:r w:rsidRPr="00867E5B">
        <w:rPr>
          <w:rFonts w:cs="Arial"/>
          <w:sz w:val="24"/>
          <w:szCs w:val="24"/>
          <w:lang w:val="fr-FR"/>
        </w:rPr>
        <w:t>Au quatrième trimestre 2021, le flux de trésorerie lié aux activités d’exploitation a grimpé de 1,2 à 3,3 milliards d’euros. Le flux de trésorerie disponible s’est établi à 1,8 milliard d’euros, soit une hausse de 84 pour cent en glissement annuel.</w:t>
      </w:r>
    </w:p>
    <w:p w14:paraId="5EF6CFD2" w14:textId="77777777" w:rsidR="00867E5B" w:rsidRPr="00867E5B" w:rsidRDefault="00867E5B" w:rsidP="00867E5B">
      <w:pPr>
        <w:pStyle w:val="Titre21"/>
        <w:keepNext/>
        <w:keepLines/>
        <w:shd w:val="clear" w:color="auto" w:fill="auto"/>
        <w:spacing w:before="0" w:after="160" w:line="240" w:lineRule="exact"/>
        <w:rPr>
          <w:sz w:val="24"/>
          <w:szCs w:val="24"/>
          <w:lang w:val="fr-FR"/>
        </w:rPr>
      </w:pPr>
      <w:bookmarkStart w:id="2" w:name="bookmark4"/>
      <w:r w:rsidRPr="00867E5B">
        <w:rPr>
          <w:sz w:val="24"/>
          <w:szCs w:val="24"/>
          <w:lang w:val="fr-FR"/>
        </w:rPr>
        <w:t>Évolution du chiffre d’affaires et du résultat du groupe BASF au quatrième trimestre 2021</w:t>
      </w:r>
      <w:bookmarkEnd w:id="2"/>
    </w:p>
    <w:p w14:paraId="3D8FA75F" w14:textId="77777777" w:rsidR="00867E5B" w:rsidRPr="00867E5B" w:rsidRDefault="00867E5B" w:rsidP="00867E5B">
      <w:pPr>
        <w:spacing w:after="180" w:line="413" w:lineRule="exact"/>
        <w:jc w:val="both"/>
        <w:rPr>
          <w:rFonts w:cs="Arial"/>
          <w:sz w:val="24"/>
          <w:szCs w:val="24"/>
          <w:lang w:val="fr-FR"/>
        </w:rPr>
      </w:pPr>
      <w:r w:rsidRPr="00867E5B">
        <w:rPr>
          <w:rFonts w:cs="Arial"/>
          <w:sz w:val="24"/>
          <w:szCs w:val="24"/>
          <w:lang w:val="fr-FR"/>
        </w:rPr>
        <w:t>Au quatrième trimestre 2021, le groupe BASF a enregistré une hausse de 24 pour cent en glissement annuel de son chiffre d’affaires, qui a ainsi bondi à 19,8 milliards d’euros. « Bien que BASF ait connu un quatrième trimestre 2020 robuste, le groupe a pu augmenter tous ses volumes, excepté dans le segment Matériaux, au quatrième trimestre 2021 », s’est réjoui M. Engel en sa qualité de Directeur financier.</w:t>
      </w:r>
    </w:p>
    <w:p w14:paraId="4B14B98F" w14:textId="77777777" w:rsidR="00867E5B" w:rsidRPr="00867E5B" w:rsidRDefault="00867E5B" w:rsidP="00867E5B">
      <w:pPr>
        <w:spacing w:after="180" w:line="413" w:lineRule="exact"/>
        <w:jc w:val="both"/>
        <w:rPr>
          <w:rFonts w:cs="Arial"/>
          <w:sz w:val="24"/>
          <w:szCs w:val="24"/>
          <w:lang w:val="fr-FR"/>
        </w:rPr>
      </w:pPr>
      <w:r w:rsidRPr="00867E5B">
        <w:rPr>
          <w:rFonts w:cs="Arial"/>
          <w:sz w:val="24"/>
          <w:szCs w:val="24"/>
          <w:lang w:val="fr-FR"/>
        </w:rPr>
        <w:t>L’EBITDA avant effets exceptionnels a augmenté d’environ 100 millions d’euros pour atteindre 2,2 milliards d’euros. L’EBITDA s’est élevé à 2,3 milliards d’euros, contre 2 milliards d’euros au quatrième trimestre 2020.</w:t>
      </w:r>
    </w:p>
    <w:p w14:paraId="751F78D0" w14:textId="77777777" w:rsidR="00867E5B" w:rsidRPr="00867E5B" w:rsidRDefault="00867E5B" w:rsidP="00867E5B">
      <w:pPr>
        <w:spacing w:after="318" w:line="413" w:lineRule="exact"/>
        <w:jc w:val="both"/>
        <w:rPr>
          <w:rFonts w:cs="Arial"/>
          <w:sz w:val="24"/>
          <w:szCs w:val="24"/>
          <w:lang w:val="fr-FR"/>
        </w:rPr>
      </w:pPr>
      <w:r w:rsidRPr="00867E5B">
        <w:rPr>
          <w:rFonts w:cs="Arial"/>
          <w:sz w:val="24"/>
          <w:szCs w:val="24"/>
          <w:lang w:val="fr-FR"/>
        </w:rPr>
        <w:t>Durant la même période, l’EBIT avant effets exceptionnels est quant à lui passé de 1,1 à 1,2 milliard d’euros. De même, l’EBIT s’est établi à 1,2 milliard d’euros, contre 932 millions d’euros au quatrième trimestre 2020.</w:t>
      </w:r>
    </w:p>
    <w:p w14:paraId="536AC9E8" w14:textId="77777777" w:rsidR="00867E5B" w:rsidRPr="00867E5B" w:rsidRDefault="00867E5B" w:rsidP="00867E5B">
      <w:pPr>
        <w:pStyle w:val="Titre21"/>
        <w:keepNext/>
        <w:keepLines/>
        <w:shd w:val="clear" w:color="auto" w:fill="auto"/>
        <w:spacing w:before="0" w:after="160" w:line="240" w:lineRule="exact"/>
        <w:rPr>
          <w:sz w:val="24"/>
          <w:szCs w:val="24"/>
          <w:lang w:val="fr-FR"/>
        </w:rPr>
      </w:pPr>
      <w:bookmarkStart w:id="3" w:name="bookmark5"/>
      <w:r w:rsidRPr="00867E5B">
        <w:rPr>
          <w:sz w:val="24"/>
          <w:szCs w:val="24"/>
          <w:lang w:val="fr-FR"/>
        </w:rPr>
        <w:t>Proposition de versement de dividendes de 3,40 € par action</w:t>
      </w:r>
      <w:bookmarkEnd w:id="3"/>
    </w:p>
    <w:p w14:paraId="42D0BD58" w14:textId="77777777" w:rsidR="00867E5B" w:rsidRPr="00867E5B" w:rsidRDefault="00867E5B" w:rsidP="00867E5B">
      <w:pPr>
        <w:spacing w:after="318" w:line="413" w:lineRule="exact"/>
        <w:jc w:val="both"/>
        <w:rPr>
          <w:rFonts w:cs="Arial"/>
          <w:sz w:val="24"/>
          <w:szCs w:val="24"/>
          <w:lang w:val="fr-FR"/>
        </w:rPr>
      </w:pPr>
      <w:r w:rsidRPr="00867E5B">
        <w:rPr>
          <w:rFonts w:cs="Arial"/>
          <w:sz w:val="24"/>
          <w:szCs w:val="24"/>
          <w:lang w:val="fr-FR"/>
        </w:rPr>
        <w:t xml:space="preserve">Cette année, à l’occasion de l’assemblée générale des actionnaires de BASF, le conseil d’administration et le conseil de surveillance proposeront de verser des dividendes de 3,40 € par action, ce qui représente une hausse de 10 cents. BASF </w:t>
      </w:r>
      <w:r w:rsidRPr="00867E5B">
        <w:rPr>
          <w:rFonts w:cs="Arial"/>
          <w:sz w:val="24"/>
          <w:szCs w:val="24"/>
          <w:lang w:val="fr-FR"/>
        </w:rPr>
        <w:lastRenderedPageBreak/>
        <w:t>distribuerait ainsi 3,1 milliards d’euros sur la base du nombre total de ses actions à la fin de l’année. « Compte tenu de notre proposition concernant les dividendes, l’action BASF offre un rendement attractif de 5,5 pour cent selon son cours boursier de la fin 2021 », a précisé M. Brudermüller.</w:t>
      </w:r>
    </w:p>
    <w:p w14:paraId="5CFCC0AB" w14:textId="77777777" w:rsidR="00867E5B" w:rsidRPr="00867E5B" w:rsidRDefault="00867E5B" w:rsidP="00867E5B">
      <w:pPr>
        <w:pStyle w:val="Titre21"/>
        <w:keepNext/>
        <w:keepLines/>
        <w:shd w:val="clear" w:color="auto" w:fill="auto"/>
        <w:spacing w:before="0" w:after="160" w:line="240" w:lineRule="exact"/>
        <w:rPr>
          <w:sz w:val="24"/>
          <w:szCs w:val="24"/>
          <w:lang w:val="fr-FR"/>
        </w:rPr>
      </w:pPr>
      <w:bookmarkStart w:id="4" w:name="bookmark6"/>
      <w:r w:rsidRPr="00867E5B">
        <w:rPr>
          <w:sz w:val="24"/>
          <w:szCs w:val="24"/>
          <w:lang w:val="fr-FR"/>
        </w:rPr>
        <w:t>Atteinte des objectifs non financiers</w:t>
      </w:r>
      <w:bookmarkEnd w:id="4"/>
    </w:p>
    <w:p w14:paraId="677848F2" w14:textId="77777777" w:rsidR="00867E5B" w:rsidRPr="00867E5B" w:rsidRDefault="00867E5B" w:rsidP="00867E5B">
      <w:pPr>
        <w:spacing w:after="180" w:line="413" w:lineRule="exact"/>
        <w:jc w:val="both"/>
        <w:rPr>
          <w:rFonts w:cs="Arial"/>
          <w:sz w:val="24"/>
          <w:szCs w:val="24"/>
          <w:lang w:val="fr-FR"/>
        </w:rPr>
      </w:pPr>
      <w:r w:rsidRPr="00867E5B">
        <w:rPr>
          <w:rFonts w:cs="Arial"/>
          <w:sz w:val="24"/>
          <w:szCs w:val="24"/>
          <w:lang w:val="fr-FR"/>
        </w:rPr>
        <w:t>BASF entend réduire ses émissions absolues de CO</w:t>
      </w:r>
      <w:r w:rsidRPr="00867E5B">
        <w:rPr>
          <w:rStyle w:val="Corpsdutexte2Candara"/>
          <w:rFonts w:ascii="Arial" w:hAnsi="Arial" w:cs="Arial"/>
          <w:sz w:val="24"/>
          <w:szCs w:val="24"/>
        </w:rPr>
        <w:t>2</w:t>
      </w:r>
      <w:r w:rsidRPr="00867E5B">
        <w:rPr>
          <w:rFonts w:cs="Arial"/>
          <w:sz w:val="24"/>
          <w:szCs w:val="24"/>
          <w:lang w:val="fr-FR"/>
        </w:rPr>
        <w:t xml:space="preserve"> de 25 pour cent à l’horizon 2030 par rapport à son niveau de référence de 2018. En 2021, les émissions de CO</w:t>
      </w:r>
      <w:r w:rsidRPr="00867E5B">
        <w:rPr>
          <w:rStyle w:val="Corpsdutexte2Candara"/>
          <w:rFonts w:ascii="Arial" w:hAnsi="Arial" w:cs="Arial"/>
          <w:sz w:val="24"/>
          <w:szCs w:val="24"/>
        </w:rPr>
        <w:t>2</w:t>
      </w:r>
      <w:r w:rsidRPr="00867E5B">
        <w:rPr>
          <w:rFonts w:cs="Arial"/>
          <w:sz w:val="24"/>
          <w:szCs w:val="24"/>
          <w:lang w:val="fr-FR"/>
        </w:rPr>
        <w:t xml:space="preserve"> du groupe ont représenté 20,2 millions de tonnes, soit moins que les 20,8 millions de tonnes émises en 2020. « Cette réduction est remarquable compte tenu de la solide croissance en volume », a souligné M. Brudermüller.</w:t>
      </w:r>
    </w:p>
    <w:p w14:paraId="0C934A2D" w14:textId="77777777" w:rsidR="00867E5B" w:rsidRPr="00867E5B" w:rsidRDefault="00867E5B" w:rsidP="00867E5B">
      <w:pPr>
        <w:spacing w:line="413" w:lineRule="exact"/>
        <w:jc w:val="both"/>
        <w:rPr>
          <w:rFonts w:cs="Arial"/>
          <w:sz w:val="24"/>
          <w:szCs w:val="24"/>
          <w:lang w:val="fr-FR"/>
        </w:rPr>
      </w:pPr>
      <w:r w:rsidRPr="00867E5B">
        <w:rPr>
          <w:rFonts w:cs="Arial"/>
          <w:sz w:val="24"/>
          <w:szCs w:val="24"/>
          <w:lang w:val="fr-FR"/>
        </w:rPr>
        <w:t>Le groupe BASF a atteint bien plus tôt que prévu son objectif de chiffre d’affaires de 22 milliards d’euros d’ici 2025 avec des produits qui apportent une contribution substantielle au développement durable au sein de la chaîne de valeur : les ventes de ces produits Accelerator se sont élevées à 24,1 milliards d’euros dès 2021. « Nous ajusterons donc notre objectif de pilotage pour ce portefeuille courant 2022 », a indiqué M. Brudermüller.</w:t>
      </w:r>
    </w:p>
    <w:p w14:paraId="09916729" w14:textId="77777777" w:rsidR="00867E5B" w:rsidRPr="00867E5B" w:rsidRDefault="00867E5B" w:rsidP="00867E5B">
      <w:pPr>
        <w:spacing w:line="413" w:lineRule="exact"/>
        <w:jc w:val="both"/>
        <w:rPr>
          <w:rFonts w:cs="Arial"/>
          <w:sz w:val="24"/>
          <w:szCs w:val="24"/>
          <w:lang w:val="fr-FR"/>
        </w:rPr>
      </w:pPr>
    </w:p>
    <w:p w14:paraId="2A2F35F6" w14:textId="77777777" w:rsidR="00867E5B" w:rsidRPr="00867E5B" w:rsidRDefault="00867E5B" w:rsidP="00867E5B">
      <w:pPr>
        <w:pStyle w:val="Titre21"/>
        <w:keepNext/>
        <w:keepLines/>
        <w:shd w:val="clear" w:color="auto" w:fill="auto"/>
        <w:spacing w:before="0" w:after="160" w:line="240" w:lineRule="exact"/>
        <w:rPr>
          <w:sz w:val="24"/>
          <w:szCs w:val="24"/>
          <w:lang w:val="fr-FR"/>
        </w:rPr>
      </w:pPr>
      <w:bookmarkStart w:id="5" w:name="bookmark7"/>
      <w:r w:rsidRPr="00867E5B">
        <w:rPr>
          <w:sz w:val="24"/>
          <w:szCs w:val="24"/>
          <w:lang w:val="fr-FR"/>
        </w:rPr>
        <w:t>Investissements dans des projets de croissance</w:t>
      </w:r>
      <w:bookmarkEnd w:id="5"/>
    </w:p>
    <w:p w14:paraId="7035DC55" w14:textId="77777777" w:rsidR="00867E5B" w:rsidRPr="00867E5B" w:rsidRDefault="00867E5B" w:rsidP="00867E5B">
      <w:pPr>
        <w:spacing w:after="180" w:line="413" w:lineRule="exact"/>
        <w:jc w:val="both"/>
        <w:rPr>
          <w:rFonts w:cs="Arial"/>
          <w:sz w:val="24"/>
          <w:szCs w:val="24"/>
          <w:lang w:val="fr-FR"/>
        </w:rPr>
      </w:pPr>
      <w:r w:rsidRPr="00867E5B">
        <w:rPr>
          <w:rFonts w:cs="Arial"/>
          <w:sz w:val="24"/>
          <w:szCs w:val="24"/>
          <w:lang w:val="fr-FR"/>
        </w:rPr>
        <w:t>Pour la période 2022-2026, BASF prévoit des dépenses d’investissement de 25,6 milliards d’euros, soit 2,7 milliards d’euros de plus que pour la période 2021-2025. « Cela s’explique essentiellement par nos deux grands projets de croissance : le site Verbund de Zhanjiang et nos activités relatives aux matériaux pour batterie », a précisé M. Engel. Et d’ajouter : « Ce sont là les clés du développement futur de BASF. »</w:t>
      </w:r>
    </w:p>
    <w:p w14:paraId="5D528B09" w14:textId="77777777" w:rsidR="00867E5B" w:rsidRPr="00867E5B" w:rsidRDefault="00867E5B" w:rsidP="00867E5B">
      <w:pPr>
        <w:spacing w:after="318" w:line="413" w:lineRule="exact"/>
        <w:jc w:val="both"/>
        <w:rPr>
          <w:rFonts w:cs="Arial"/>
          <w:sz w:val="24"/>
          <w:szCs w:val="24"/>
          <w:lang w:val="fr-FR"/>
        </w:rPr>
      </w:pPr>
      <w:r w:rsidRPr="00867E5B">
        <w:rPr>
          <w:rFonts w:cs="Arial"/>
          <w:sz w:val="24"/>
          <w:szCs w:val="24"/>
          <w:lang w:val="fr-FR"/>
        </w:rPr>
        <w:t xml:space="preserve">Les investissements dans les activités existantes de BASF restent stables, à un niveau moyen de 2,6 milliards d’euros par an. M. Engel a annoncé que BASF ferait preuve de discipline quant aux investissements requis pour poursuivre ces activités et les développer dans un esprit de rentabilité. « Cela nous permettra d’injecter aussi 2,6 milliards d’euros par an en moyenne dans nos projets de croissance. Les dépenses d’investissement fléchées dans cette direction connaîtront un pic en 2024 », a expliqué M. Engel. Pour 2022, BASF prévoit des dépenses d’investissement de 4,6 milliards d’euros en tout. C’est plus que les 3,4 milliards </w:t>
      </w:r>
      <w:r w:rsidRPr="00867E5B">
        <w:rPr>
          <w:rFonts w:cs="Arial"/>
          <w:sz w:val="24"/>
          <w:szCs w:val="24"/>
          <w:lang w:val="fr-FR"/>
        </w:rPr>
        <w:lastRenderedPageBreak/>
        <w:t>d’euros de 2021. Le budget annuel consacré aux activités de recherche et développement avoisine quant à lui 2,1 milliards d’euros.</w:t>
      </w:r>
    </w:p>
    <w:p w14:paraId="42ACB04F" w14:textId="77777777" w:rsidR="00867E5B" w:rsidRPr="00867E5B" w:rsidRDefault="00867E5B" w:rsidP="00867E5B">
      <w:pPr>
        <w:pStyle w:val="Titre21"/>
        <w:keepNext/>
        <w:keepLines/>
        <w:shd w:val="clear" w:color="auto" w:fill="auto"/>
        <w:spacing w:before="0" w:after="155" w:line="240" w:lineRule="exact"/>
        <w:rPr>
          <w:sz w:val="24"/>
          <w:szCs w:val="24"/>
          <w:lang w:val="fr-FR"/>
        </w:rPr>
      </w:pPr>
      <w:bookmarkStart w:id="6" w:name="bookmark8"/>
      <w:r w:rsidRPr="00867E5B">
        <w:rPr>
          <w:sz w:val="24"/>
          <w:szCs w:val="24"/>
          <w:lang w:val="fr-FR"/>
        </w:rPr>
        <w:t>Perspectives du groupe BASF pour 2022</w:t>
      </w:r>
      <w:bookmarkEnd w:id="6"/>
    </w:p>
    <w:p w14:paraId="75F4B0F2" w14:textId="77777777" w:rsidR="00867E5B" w:rsidRPr="00867E5B" w:rsidRDefault="00867E5B" w:rsidP="00867E5B">
      <w:pPr>
        <w:spacing w:after="180" w:line="413" w:lineRule="exact"/>
        <w:jc w:val="both"/>
        <w:rPr>
          <w:rFonts w:cs="Arial"/>
          <w:sz w:val="24"/>
          <w:szCs w:val="24"/>
          <w:lang w:val="fr-FR"/>
        </w:rPr>
      </w:pPr>
      <w:r w:rsidRPr="00867E5B">
        <w:rPr>
          <w:rFonts w:cs="Arial"/>
          <w:sz w:val="24"/>
          <w:szCs w:val="24"/>
          <w:lang w:val="fr-FR"/>
        </w:rPr>
        <w:t>« Nous avons très bien commencé l’année, les chiffres de janvier 2022 affichant une progression en glissement annuel », s’est félicité M. Brudermüller en ce début d’exercice.</w:t>
      </w:r>
    </w:p>
    <w:p w14:paraId="4735237B" w14:textId="77777777" w:rsidR="00867E5B" w:rsidRPr="00867E5B" w:rsidRDefault="00867E5B" w:rsidP="00867E5B">
      <w:pPr>
        <w:spacing w:after="180" w:line="413" w:lineRule="exact"/>
        <w:jc w:val="both"/>
        <w:rPr>
          <w:rFonts w:cs="Arial"/>
          <w:sz w:val="24"/>
          <w:szCs w:val="24"/>
          <w:lang w:val="fr-FR"/>
        </w:rPr>
      </w:pPr>
      <w:r w:rsidRPr="00867E5B">
        <w:rPr>
          <w:rFonts w:cs="Arial"/>
          <w:sz w:val="24"/>
          <w:szCs w:val="24"/>
          <w:lang w:val="fr-FR"/>
        </w:rPr>
        <w:t>BASF s’attend à ce que la croissance économique mondiale de 3,8 pour cent ralentisse quelque peu en 2022 après l’excellente reprise de 2021. « L’exécution des commandes ayant pris beaucoup de retard, nous prévoyons que la production industrielle mondiale augmentera de 3,8 pour cent et la production chimique de 3,5 pour cent », a précisé M. Brudermüller. BASF anticipe un prix du pétrole moyen de 75 dollars par baril de Brent et un taux de change de 1,15 dollar par euro.</w:t>
      </w:r>
    </w:p>
    <w:p w14:paraId="5C9F115B" w14:textId="77777777" w:rsidR="00867E5B" w:rsidRPr="00867E5B" w:rsidRDefault="00867E5B" w:rsidP="00867E5B">
      <w:pPr>
        <w:spacing w:after="180" w:line="413" w:lineRule="exact"/>
        <w:jc w:val="both"/>
        <w:rPr>
          <w:rFonts w:cs="Arial"/>
          <w:sz w:val="24"/>
          <w:szCs w:val="24"/>
          <w:lang w:val="fr-FR"/>
        </w:rPr>
      </w:pPr>
      <w:r w:rsidRPr="00867E5B">
        <w:rPr>
          <w:rFonts w:cs="Arial"/>
          <w:sz w:val="24"/>
          <w:szCs w:val="24"/>
          <w:lang w:val="fr-FR"/>
        </w:rPr>
        <w:t>En fonction de ces hypothèses, BASF prévoit de réaliser un chiffre d’affaires compris entre 74 et 77 milliards de dollars en 2022. L’entreprise table sur un résultat des activités d’exploitation (EBIT) avant effets exceptionnels compris entre 6,6 et 7,2 milliards d’euros. Le ROCE devrait être compris entre 11,4 et 12,6 pour cent. Les émissions de CO</w:t>
      </w:r>
      <w:r w:rsidRPr="00867E5B">
        <w:rPr>
          <w:rStyle w:val="Corpsdutexte2Candara"/>
          <w:rFonts w:ascii="Arial" w:hAnsi="Arial" w:cs="Arial"/>
          <w:sz w:val="24"/>
          <w:szCs w:val="24"/>
        </w:rPr>
        <w:t>2</w:t>
      </w:r>
      <w:r w:rsidRPr="00867E5B">
        <w:rPr>
          <w:rFonts w:cs="Arial"/>
          <w:sz w:val="24"/>
          <w:szCs w:val="24"/>
          <w:lang w:val="fr-FR"/>
        </w:rPr>
        <w:t xml:space="preserve"> devraient représenter entre 19,6 et 20,6 millions de tonnes en 2022.</w:t>
      </w:r>
    </w:p>
    <w:p w14:paraId="5D69AA92" w14:textId="77777777" w:rsidR="00867E5B" w:rsidRPr="00867E5B" w:rsidRDefault="00867E5B" w:rsidP="00867E5B">
      <w:pPr>
        <w:spacing w:line="413" w:lineRule="exact"/>
        <w:jc w:val="both"/>
        <w:rPr>
          <w:rFonts w:cs="Arial"/>
          <w:sz w:val="24"/>
          <w:szCs w:val="24"/>
          <w:lang w:val="fr-FR"/>
        </w:rPr>
      </w:pPr>
      <w:r w:rsidRPr="00867E5B">
        <w:rPr>
          <w:rFonts w:cs="Arial"/>
          <w:sz w:val="24"/>
          <w:szCs w:val="24"/>
          <w:lang w:val="fr-FR"/>
        </w:rPr>
        <w:t>Les fourchettes prévisionnelles de BASF tiennent compte de l’incertitude qui découle notamment des perturbations constantes des chaînes d’approvisionnement, de la suite de la pandémie de coronavirus et de l’évolution des prix de l’énergie.</w:t>
      </w:r>
    </w:p>
    <w:p w14:paraId="1E42AEFB" w14:textId="77777777" w:rsidR="00867E5B" w:rsidRDefault="00867E5B" w:rsidP="00867E5B">
      <w:pPr>
        <w:pStyle w:val="Default"/>
        <w:spacing w:line="360" w:lineRule="auto"/>
        <w:jc w:val="both"/>
        <w:rPr>
          <w:rFonts w:asciiTheme="minorHAnsi" w:hAnsiTheme="minorHAnsi" w:cstheme="minorHAnsi"/>
          <w:color w:val="auto"/>
        </w:rPr>
      </w:pPr>
    </w:p>
    <w:p w14:paraId="58D03C8F" w14:textId="47B0148A" w:rsidR="00867E5B" w:rsidRDefault="00867E5B" w:rsidP="006B0B6C">
      <w:pPr>
        <w:pStyle w:val="Default"/>
        <w:spacing w:line="360" w:lineRule="auto"/>
        <w:jc w:val="both"/>
        <w:rPr>
          <w:rFonts w:asciiTheme="minorHAnsi" w:hAnsiTheme="minorHAnsi" w:cstheme="minorHAnsi"/>
          <w:color w:val="auto"/>
        </w:rPr>
      </w:pPr>
    </w:p>
    <w:p w14:paraId="4910BCC3" w14:textId="22265B62" w:rsidR="00867E5B" w:rsidRDefault="00867E5B" w:rsidP="006B0B6C">
      <w:pPr>
        <w:pStyle w:val="Default"/>
        <w:spacing w:line="360" w:lineRule="auto"/>
        <w:jc w:val="both"/>
        <w:rPr>
          <w:rFonts w:asciiTheme="minorHAnsi" w:hAnsiTheme="minorHAnsi" w:cstheme="minorHAnsi"/>
          <w:color w:val="auto"/>
        </w:rPr>
      </w:pPr>
    </w:p>
    <w:p w14:paraId="348C9093" w14:textId="0F93264E" w:rsidR="00867E5B" w:rsidRDefault="00867E5B" w:rsidP="006B0B6C">
      <w:pPr>
        <w:pStyle w:val="Default"/>
        <w:spacing w:line="360" w:lineRule="auto"/>
        <w:jc w:val="both"/>
        <w:rPr>
          <w:rFonts w:asciiTheme="minorHAnsi" w:hAnsiTheme="minorHAnsi" w:cstheme="minorHAnsi"/>
          <w:color w:val="auto"/>
        </w:rPr>
      </w:pPr>
    </w:p>
    <w:p w14:paraId="1B313C14" w14:textId="4ADA9884" w:rsidR="00867E5B" w:rsidRDefault="00867E5B" w:rsidP="006B0B6C">
      <w:pPr>
        <w:pStyle w:val="Default"/>
        <w:spacing w:line="360" w:lineRule="auto"/>
        <w:jc w:val="both"/>
        <w:rPr>
          <w:rFonts w:asciiTheme="minorHAnsi" w:hAnsiTheme="minorHAnsi" w:cstheme="minorHAnsi"/>
          <w:color w:val="auto"/>
        </w:rPr>
      </w:pPr>
    </w:p>
    <w:p w14:paraId="3F19E435" w14:textId="77777777" w:rsidR="00867E5B" w:rsidRDefault="00867E5B" w:rsidP="006B0B6C">
      <w:pPr>
        <w:pStyle w:val="Default"/>
        <w:spacing w:line="360" w:lineRule="auto"/>
        <w:jc w:val="both"/>
        <w:rPr>
          <w:rFonts w:asciiTheme="minorHAnsi" w:hAnsiTheme="minorHAnsi" w:cstheme="minorHAnsi"/>
          <w:color w:val="auto"/>
        </w:rPr>
      </w:pPr>
    </w:p>
    <w:p w14:paraId="6BC06857" w14:textId="77777777" w:rsidR="00867E5B" w:rsidRDefault="00867E5B" w:rsidP="006B0B6C">
      <w:pPr>
        <w:pStyle w:val="Default"/>
        <w:spacing w:line="360" w:lineRule="auto"/>
        <w:jc w:val="both"/>
        <w:rPr>
          <w:rFonts w:asciiTheme="minorHAnsi" w:hAnsiTheme="minorHAnsi" w:cstheme="minorHAnsi"/>
          <w:color w:val="auto"/>
        </w:rPr>
      </w:pPr>
    </w:p>
    <w:p w14:paraId="69163BC1" w14:textId="3E714473" w:rsidR="00ED651E" w:rsidRDefault="00ED651E" w:rsidP="00ED651E">
      <w:pPr>
        <w:pStyle w:val="BoilerplateText"/>
        <w:spacing w:after="240"/>
        <w:ind w:right="0"/>
        <w:jc w:val="both"/>
        <w:rPr>
          <w:color w:val="000000"/>
          <w:lang w:val="fr-FR"/>
        </w:rPr>
      </w:pPr>
      <w:r>
        <w:rPr>
          <w:color w:val="000000"/>
          <w:lang w:val="fr-FR"/>
        </w:rPr>
        <w:t xml:space="preserve"> </w:t>
      </w:r>
    </w:p>
    <w:sectPr w:rsidR="00ED651E" w:rsidSect="00E9407E">
      <w:headerReference w:type="even" r:id="rId8"/>
      <w:headerReference w:type="default" r:id="rId9"/>
      <w:footerReference w:type="even" r:id="rId10"/>
      <w:footerReference w:type="default" r:id="rId11"/>
      <w:headerReference w:type="first" r:id="rId12"/>
      <w:footerReference w:type="first" r:id="rId13"/>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8E86" w14:textId="77777777" w:rsidR="00532948" w:rsidRDefault="00532948" w:rsidP="00B35193">
      <w:r>
        <w:separator/>
      </w:r>
    </w:p>
  </w:endnote>
  <w:endnote w:type="continuationSeparator" w:id="0">
    <w:p w14:paraId="1FBF335C" w14:textId="77777777" w:rsidR="00532948" w:rsidRDefault="00532948"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FA81" w14:textId="77777777" w:rsidR="00867E5B" w:rsidRDefault="00867E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00A4" w14:textId="1B57E4BE" w:rsidR="00444401" w:rsidRDefault="00444401">
    <w:pPr>
      <w:pStyle w:val="Pieddepage"/>
    </w:pPr>
    <w:r>
      <w:rPr>
        <w:noProof/>
      </w:rPr>
      <mc:AlternateContent>
        <mc:Choice Requires="wps">
          <w:drawing>
            <wp:anchor distT="0" distB="0" distL="114300" distR="114300" simplePos="0" relativeHeight="251664384" behindDoc="0" locked="0" layoutInCell="0" allowOverlap="1" wp14:anchorId="15EF0047" wp14:editId="57D44B14">
              <wp:simplePos x="0" y="0"/>
              <wp:positionH relativeFrom="page">
                <wp:posOffset>0</wp:posOffset>
              </wp:positionH>
              <wp:positionV relativeFrom="page">
                <wp:posOffset>10234930</wp:posOffset>
              </wp:positionV>
              <wp:extent cx="7560310" cy="266700"/>
              <wp:effectExtent l="0" t="0" r="0" b="0"/>
              <wp:wrapNone/>
              <wp:docPr id="1" name="MSIPCMc6fa44ddb8142bfa7cb9fd2d"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4B117" w14:textId="29C218B9" w:rsidR="00444401" w:rsidRPr="00867E5B" w:rsidRDefault="00867E5B" w:rsidP="00867E5B">
                          <w:pPr>
                            <w:jc w:val="center"/>
                            <w:rPr>
                              <w:rFonts w:cs="Arial"/>
                              <w:color w:val="000000"/>
                            </w:rPr>
                          </w:pPr>
                          <w:r w:rsidRPr="00867E5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F0047" id="_x0000_t202" coordsize="21600,21600" o:spt="202" path="m,l,21600r21600,l21600,xe">
              <v:stroke joinstyle="miter"/>
              <v:path gradientshapeok="t" o:connecttype="rect"/>
            </v:shapetype>
            <v:shape id="MSIPCMc6fa44ddb8142bfa7cb9fd2d" o:spid="_x0000_s1026" type="#_x0000_t202" alt="{&quot;HashCode&quot;:-1038031055,&quot;Height&quot;:841.0,&quot;Width&quot;:595.0,&quot;Placement&quot;:&quot;Footer&quot;,&quot;Index&quot;:&quot;Primary&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ARjrV2tAgAARwUAAA4AAAAA&#10;AAAAAAAAAAAALgIAAGRycy9lMm9Eb2MueG1sUEsBAi0AFAAGAAgAAAAhAIOyjyvfAAAACwEAAA8A&#10;AAAAAAAAAAAAAAAABwUAAGRycy9kb3ducmV2LnhtbFBLBQYAAAAABAAEAPMAAAATBgAAAAA=&#10;" o:allowincell="f" filled="f" stroked="f" strokeweight=".5pt">
              <v:textbox inset=",0,,0">
                <w:txbxContent>
                  <w:p w14:paraId="6DC4B117" w14:textId="29C218B9" w:rsidR="00444401" w:rsidRPr="00867E5B" w:rsidRDefault="00867E5B" w:rsidP="00867E5B">
                    <w:pPr>
                      <w:jc w:val="center"/>
                      <w:rPr>
                        <w:rFonts w:cs="Arial"/>
                        <w:color w:val="000000"/>
                      </w:rPr>
                    </w:pPr>
                    <w:r w:rsidRPr="00867E5B">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87F9" w14:textId="25EC1D65" w:rsidR="0022699A" w:rsidRDefault="00444401">
    <w:pPr>
      <w:pStyle w:val="Pieddepage"/>
      <w:rPr>
        <w:noProof/>
      </w:rPr>
    </w:pPr>
    <w:r>
      <w:rPr>
        <w:noProof/>
        <w:lang w:val="en-US"/>
      </w:rPr>
      <mc:AlternateContent>
        <mc:Choice Requires="wps">
          <w:drawing>
            <wp:anchor distT="0" distB="0" distL="114300" distR="114300" simplePos="0" relativeHeight="251665408" behindDoc="0" locked="0" layoutInCell="0" allowOverlap="1" wp14:anchorId="6E308262" wp14:editId="491F124C">
              <wp:simplePos x="0" y="0"/>
              <wp:positionH relativeFrom="page">
                <wp:posOffset>0</wp:posOffset>
              </wp:positionH>
              <wp:positionV relativeFrom="page">
                <wp:posOffset>10234930</wp:posOffset>
              </wp:positionV>
              <wp:extent cx="7560310" cy="266700"/>
              <wp:effectExtent l="0" t="0" r="0" b="0"/>
              <wp:wrapNone/>
              <wp:docPr id="3" name="MSIPCM0a4e4ae598def999f5a72624"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4EEBD" w14:textId="624C2837" w:rsidR="00444401" w:rsidRPr="00867E5B" w:rsidRDefault="00867E5B" w:rsidP="00867E5B">
                          <w:pPr>
                            <w:jc w:val="center"/>
                            <w:rPr>
                              <w:rFonts w:cs="Arial"/>
                              <w:color w:val="000000"/>
                            </w:rPr>
                          </w:pPr>
                          <w:r w:rsidRPr="00867E5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08262" id="_x0000_t202" coordsize="21600,21600" o:spt="202" path="m,l,21600r21600,l21600,xe">
              <v:stroke joinstyle="miter"/>
              <v:path gradientshapeok="t" o:connecttype="rect"/>
            </v:shapetype>
            <v:shape id="MSIPCM0a4e4ae598def999f5a72624" o:spid="_x0000_s1027" type="#_x0000_t202" alt="{&quot;HashCode&quot;:-1038031055,&quot;Height&quot;:841.0,&quot;Width&quot;:595.0,&quot;Placement&quot;:&quot;Footer&quot;,&quot;Index&quot;:&quot;FirstPage&quot;,&quot;Section&quot;:1,&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ZGdW+rICAABQBQAA&#10;DgAAAAAAAAAAAAAAAAAuAgAAZHJzL2Uyb0RvYy54bWxQSwECLQAUAAYACAAAACEAg7KPK98AAAAL&#10;AQAADwAAAAAAAAAAAAAAAAAMBQAAZHJzL2Rvd25yZXYueG1sUEsFBgAAAAAEAAQA8wAAABgGAAAA&#10;AA==&#10;" o:allowincell="f" filled="f" stroked="f" strokeweight=".5pt">
              <v:textbox inset=",0,,0">
                <w:txbxContent>
                  <w:p w14:paraId="4A04EEBD" w14:textId="624C2837" w:rsidR="00444401" w:rsidRPr="00867E5B" w:rsidRDefault="00867E5B" w:rsidP="00867E5B">
                    <w:pPr>
                      <w:jc w:val="center"/>
                      <w:rPr>
                        <w:rFonts w:cs="Arial"/>
                        <w:color w:val="000000"/>
                      </w:rPr>
                    </w:pPr>
                    <w:r w:rsidRPr="00867E5B">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3120" behindDoc="0" locked="0" layoutInCell="1" allowOverlap="1" wp14:anchorId="03784D45" wp14:editId="393900FF">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756A2" id="Gerader Verbinde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AF0D70" w:rsidRPr="00F7176C" w14:paraId="28CCC1DC" w14:textId="77777777" w:rsidTr="0017745B">
      <w:tc>
        <w:tcPr>
          <w:tcW w:w="3194" w:type="dxa"/>
        </w:tcPr>
        <w:p w14:paraId="1B3F00A5" w14:textId="77777777" w:rsidR="00867E5B" w:rsidRDefault="00867E5B" w:rsidP="00867E5B">
          <w:pPr>
            <w:shd w:val="solid" w:color="FFFFFF" w:fill="FFFFFF"/>
            <w:spacing w:line="240" w:lineRule="exact"/>
            <w:rPr>
              <w:color w:val="808080"/>
              <w:sz w:val="18"/>
              <w:szCs w:val="18"/>
              <w:lang w:val="fr-FR"/>
            </w:rPr>
          </w:pPr>
          <w:r w:rsidRPr="00867E5B">
            <w:rPr>
              <w:color w:val="808080"/>
              <w:sz w:val="18"/>
              <w:szCs w:val="18"/>
              <w:lang w:val="fr-FR"/>
            </w:rPr>
            <w:t xml:space="preserve">Relations presse Entreprises </w:t>
          </w:r>
        </w:p>
        <w:p w14:paraId="3EE2AFC8" w14:textId="1E902743" w:rsidR="00867E5B" w:rsidRPr="00867E5B" w:rsidRDefault="00867E5B" w:rsidP="00867E5B">
          <w:pPr>
            <w:shd w:val="solid" w:color="FFFFFF" w:fill="FFFFFF"/>
            <w:spacing w:line="240" w:lineRule="exact"/>
            <w:rPr>
              <w:color w:val="808080"/>
              <w:sz w:val="18"/>
              <w:szCs w:val="18"/>
              <w:lang w:val="fr-FR"/>
            </w:rPr>
          </w:pPr>
          <w:r w:rsidRPr="00867E5B">
            <w:rPr>
              <w:color w:val="808080"/>
              <w:sz w:val="18"/>
              <w:szCs w:val="18"/>
              <w:lang w:val="fr-FR"/>
            </w:rPr>
            <w:t>Jens Fey</w:t>
          </w:r>
        </w:p>
        <w:p w14:paraId="6B464764" w14:textId="197E5504" w:rsidR="00AF0D70" w:rsidRPr="00722C6A" w:rsidRDefault="00867E5B" w:rsidP="00867E5B">
          <w:pPr>
            <w:tabs>
              <w:tab w:val="center" w:pos="4536"/>
              <w:tab w:val="right" w:pos="9072"/>
            </w:tabs>
            <w:ind w:right="284"/>
            <w:rPr>
              <w:rFonts w:eastAsia="Calibri" w:cs="Times New Roman"/>
              <w:noProof/>
              <w:color w:val="808080"/>
              <w:szCs w:val="22"/>
              <w:lang w:val="fr-FR"/>
            </w:rPr>
          </w:pPr>
          <w:r w:rsidRPr="00867E5B">
            <w:rPr>
              <w:color w:val="808080"/>
              <w:sz w:val="18"/>
              <w:szCs w:val="18"/>
              <w:lang w:val="fr-FR"/>
            </w:rPr>
            <w:t>Téléphone : +49 621 60-99123 ¡ens.fey@basf.com</w:t>
          </w:r>
        </w:p>
      </w:tc>
      <w:tc>
        <w:tcPr>
          <w:tcW w:w="3194" w:type="dxa"/>
        </w:tcPr>
        <w:p w14:paraId="3CF07FAC" w14:textId="77777777" w:rsidR="00867E5B" w:rsidRDefault="00867E5B" w:rsidP="00867E5B">
          <w:pPr>
            <w:shd w:val="solid" w:color="FFFFFF" w:fill="FFFFFF"/>
            <w:spacing w:line="240" w:lineRule="exact"/>
            <w:rPr>
              <w:color w:val="808080"/>
              <w:sz w:val="18"/>
              <w:szCs w:val="18"/>
              <w:lang w:val="fr-FR"/>
            </w:rPr>
          </w:pPr>
          <w:r w:rsidRPr="00867E5B">
            <w:rPr>
              <w:color w:val="808080"/>
              <w:sz w:val="18"/>
              <w:szCs w:val="18"/>
              <w:lang w:val="fr-FR"/>
            </w:rPr>
            <w:t>Relations investisseurs</w:t>
          </w:r>
        </w:p>
        <w:p w14:paraId="53D08A4A" w14:textId="02561F04" w:rsidR="00867E5B" w:rsidRDefault="00867E5B" w:rsidP="00867E5B">
          <w:pPr>
            <w:shd w:val="solid" w:color="FFFFFF" w:fill="FFFFFF"/>
            <w:spacing w:line="240" w:lineRule="exact"/>
            <w:rPr>
              <w:color w:val="808080"/>
              <w:sz w:val="18"/>
              <w:szCs w:val="18"/>
              <w:lang w:val="fr-FR"/>
            </w:rPr>
          </w:pPr>
          <w:r w:rsidRPr="00867E5B">
            <w:rPr>
              <w:color w:val="808080"/>
              <w:sz w:val="18"/>
              <w:szCs w:val="18"/>
              <w:lang w:val="fr-FR"/>
            </w:rPr>
            <w:t xml:space="preserve"> Dr Stefanie Wettberg </w:t>
          </w:r>
        </w:p>
        <w:p w14:paraId="5453A2DE" w14:textId="206813E9" w:rsidR="00867E5B" w:rsidRPr="00867E5B" w:rsidRDefault="00867E5B" w:rsidP="00867E5B">
          <w:pPr>
            <w:shd w:val="solid" w:color="FFFFFF" w:fill="FFFFFF"/>
            <w:spacing w:line="240" w:lineRule="exact"/>
            <w:rPr>
              <w:color w:val="808080"/>
              <w:sz w:val="18"/>
              <w:szCs w:val="18"/>
              <w:lang w:val="fr-FR"/>
            </w:rPr>
          </w:pPr>
          <w:r w:rsidRPr="00867E5B">
            <w:rPr>
              <w:color w:val="808080"/>
              <w:sz w:val="18"/>
              <w:szCs w:val="18"/>
              <w:lang w:val="fr-FR"/>
            </w:rPr>
            <w:t xml:space="preserve">Téléphone : +49 621 60-48002 </w:t>
          </w:r>
          <w:hyperlink r:id="rId1" w:history="1">
            <w:r w:rsidRPr="00867E5B">
              <w:rPr>
                <w:color w:val="808080"/>
                <w:sz w:val="18"/>
                <w:szCs w:val="18"/>
                <w:lang w:val="fr-FR"/>
              </w:rPr>
              <w:t>stefanie.wettberq@basf.com</w:t>
            </w:r>
          </w:hyperlink>
        </w:p>
        <w:p w14:paraId="022DC0B7" w14:textId="174F3291" w:rsidR="00AF0D70" w:rsidRPr="00867E5B" w:rsidRDefault="00AF0D70" w:rsidP="00867E5B">
          <w:pPr>
            <w:shd w:val="solid" w:color="FFFFFF" w:fill="FFFFFF"/>
            <w:spacing w:line="240" w:lineRule="exact"/>
            <w:rPr>
              <w:color w:val="808080"/>
              <w:sz w:val="18"/>
              <w:szCs w:val="18"/>
              <w:lang w:val="fr-FR"/>
            </w:rPr>
          </w:pPr>
        </w:p>
      </w:tc>
      <w:tc>
        <w:tcPr>
          <w:tcW w:w="3194" w:type="dxa"/>
        </w:tcPr>
        <w:p w14:paraId="2DB9931D" w14:textId="77777777" w:rsidR="00867E5B" w:rsidRPr="00867E5B" w:rsidRDefault="00867E5B" w:rsidP="00867E5B">
          <w:pPr>
            <w:tabs>
              <w:tab w:val="left" w:pos="983"/>
            </w:tabs>
            <w:spacing w:line="240" w:lineRule="exact"/>
            <w:ind w:right="454"/>
            <w:rPr>
              <w:color w:val="808080"/>
              <w:sz w:val="18"/>
              <w:szCs w:val="18"/>
              <w:lang w:val="fr-FR"/>
            </w:rPr>
          </w:pPr>
          <w:r w:rsidRPr="00867E5B">
            <w:rPr>
              <w:color w:val="808080"/>
              <w:sz w:val="18"/>
              <w:szCs w:val="18"/>
              <w:lang w:val="fr-FR"/>
            </w:rPr>
            <w:t>BASF SE</w:t>
          </w:r>
        </w:p>
        <w:p w14:paraId="7B4DCD31" w14:textId="757D3CB3" w:rsidR="00AF0D70" w:rsidRPr="00867E5B" w:rsidRDefault="00867E5B" w:rsidP="00867E5B">
          <w:pPr>
            <w:tabs>
              <w:tab w:val="left" w:pos="983"/>
            </w:tabs>
            <w:spacing w:line="240" w:lineRule="exact"/>
            <w:ind w:right="454"/>
            <w:rPr>
              <w:color w:val="808080"/>
              <w:sz w:val="18"/>
              <w:szCs w:val="18"/>
              <w:lang w:val="fr-FR"/>
            </w:rPr>
          </w:pPr>
          <w:r w:rsidRPr="00867E5B">
            <w:rPr>
              <w:color w:val="808080"/>
              <w:sz w:val="18"/>
              <w:szCs w:val="18"/>
              <w:lang w:val="fr-FR"/>
            </w:rPr>
            <w:t xml:space="preserve">67056 Ludwigshafen, Allemagne </w:t>
          </w:r>
          <w:hyperlink r:id="rId2" w:history="1">
            <w:r w:rsidRPr="00867E5B">
              <w:rPr>
                <w:color w:val="808080"/>
                <w:lang w:val="fr-FR"/>
              </w:rPr>
              <w:t>www.basf.com</w:t>
            </w:r>
          </w:hyperlink>
        </w:p>
        <w:p w14:paraId="7041D672" w14:textId="35BA732C" w:rsidR="00867E5B" w:rsidRPr="00867E5B" w:rsidRDefault="00867E5B" w:rsidP="00867E5B">
          <w:pPr>
            <w:tabs>
              <w:tab w:val="left" w:pos="983"/>
            </w:tabs>
            <w:spacing w:line="240" w:lineRule="exact"/>
            <w:ind w:right="454"/>
            <w:rPr>
              <w:color w:val="808080"/>
              <w:sz w:val="18"/>
              <w:szCs w:val="18"/>
              <w:lang w:val="fr-FR"/>
            </w:rPr>
          </w:pPr>
          <w:r w:rsidRPr="00867E5B">
            <w:rPr>
              <w:color w:val="808080"/>
              <w:sz w:val="18"/>
              <w:szCs w:val="18"/>
              <w:lang w:val="fr-FR"/>
            </w:rPr>
            <w:t>presse.kontakt@.basf.com</w:t>
          </w:r>
        </w:p>
      </w:tc>
    </w:tr>
  </w:tbl>
  <w:tbl>
    <w:tblPr>
      <w:tblStyle w:val="Grilledutableau"/>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D116B8" w:rsidRPr="00DA704C" w14:paraId="4F22E2B8" w14:textId="77777777" w:rsidTr="00A40EF6">
      <w:tc>
        <w:tcPr>
          <w:tcW w:w="3194" w:type="dxa"/>
        </w:tcPr>
        <w:p w14:paraId="5235E4DF" w14:textId="77777777" w:rsidR="00D116B8" w:rsidRPr="00DA704C" w:rsidRDefault="00D116B8" w:rsidP="00D116B8">
          <w:pPr>
            <w:pStyle w:val="Pieddepage"/>
            <w:rPr>
              <w:noProof/>
              <w:color w:val="808080" w:themeColor="background1" w:themeShade="80"/>
            </w:rPr>
          </w:pPr>
        </w:p>
      </w:tc>
      <w:tc>
        <w:tcPr>
          <w:tcW w:w="3194" w:type="dxa"/>
        </w:tcPr>
        <w:p w14:paraId="789A1194" w14:textId="77777777" w:rsidR="00D116B8" w:rsidRPr="00867E5B" w:rsidRDefault="00D116B8" w:rsidP="00D116B8">
          <w:pPr>
            <w:pStyle w:val="Pieddepage"/>
            <w:rPr>
              <w:noProof/>
              <w:color w:val="808080" w:themeColor="background1" w:themeShade="80"/>
              <w:lang w:val="fr-FR"/>
            </w:rPr>
          </w:pPr>
        </w:p>
      </w:tc>
      <w:tc>
        <w:tcPr>
          <w:tcW w:w="3194" w:type="dxa"/>
        </w:tcPr>
        <w:p w14:paraId="49A16169" w14:textId="77777777" w:rsidR="00D116B8" w:rsidRPr="00DA704C" w:rsidRDefault="00D116B8" w:rsidP="00D116B8">
          <w:pPr>
            <w:shd w:val="solid" w:color="FFFFFF" w:fill="FFFFFF"/>
            <w:spacing w:line="240" w:lineRule="exact"/>
            <w:rPr>
              <w:noProof/>
              <w:color w:val="808080" w:themeColor="background1" w:themeShade="80"/>
            </w:rPr>
          </w:pPr>
        </w:p>
      </w:tc>
    </w:tr>
  </w:tbl>
  <w:p w14:paraId="08608410" w14:textId="77777777" w:rsidR="00A90C46" w:rsidRPr="00867E5B" w:rsidRDefault="00867E5B" w:rsidP="0022699A">
    <w:pPr>
      <w:pStyle w:val="Pieddepage"/>
      <w:rPr>
        <w:noProof/>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8085" w14:textId="77777777" w:rsidR="00532948" w:rsidRDefault="00532948" w:rsidP="00B35193">
      <w:r>
        <w:separator/>
      </w:r>
    </w:p>
  </w:footnote>
  <w:footnote w:type="continuationSeparator" w:id="0">
    <w:p w14:paraId="1546B1BD" w14:textId="77777777" w:rsidR="00532948" w:rsidRDefault="00532948"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82FB" w14:textId="77777777" w:rsidR="00867E5B" w:rsidRDefault="00867E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4F6" w14:textId="7F88B7FF" w:rsidR="00A90C46" w:rsidRPr="0094429D" w:rsidRDefault="00A84B6E" w:rsidP="00AA4270">
    <w:pPr>
      <w:pStyle w:val="En-tte"/>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F0769E">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AA4270" w:rsidRPr="0094429D">
      <w:rPr>
        <w:color w:val="808080" w:themeColor="background1" w:themeShade="80"/>
        <w:sz w:val="18"/>
      </w:rPr>
      <w:tab/>
    </w:r>
  </w:p>
  <w:p w14:paraId="76230674" w14:textId="77777777" w:rsidR="002A1254" w:rsidRPr="00BD03DA" w:rsidRDefault="002A1254" w:rsidP="003861F6">
    <w:pPr>
      <w:pStyle w:val="En-tte"/>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79D" w14:textId="77777777" w:rsidR="00A90C46" w:rsidRDefault="0004243A" w:rsidP="002A1254">
    <w:pPr>
      <w:pStyle w:val="En-tte"/>
      <w:spacing w:after="480"/>
      <w:ind w:right="0"/>
    </w:pPr>
    <w:r w:rsidRPr="002063E3">
      <w:rPr>
        <w:noProof/>
      </w:rPr>
      <mc:AlternateContent>
        <mc:Choice Requires="wpg">
          <w:drawing>
            <wp:anchor distT="0" distB="0" distL="114300" distR="114300" simplePos="0" relativeHeight="251657216" behindDoc="0" locked="0" layoutInCell="1" allowOverlap="1" wp14:anchorId="1D348058" wp14:editId="022C786E">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0924DA51" id="Gruppieren 4" o:spid="_x0000_s1026" style="position:absolute;margin-left:0;margin-top:11.65pt;width:740.2pt;height:84.2pt;z-index:251657216;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00793a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51655168" behindDoc="0" locked="0" layoutInCell="1" allowOverlap="1" wp14:anchorId="7CFDCD36" wp14:editId="2FB69145">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9BB85AA8"/>
    <w:lvl w:ilvl="0" w:tplc="8416CC7E">
      <w:start w:val="1"/>
      <w:numFmt w:val="bullet"/>
      <w:pStyle w:val="Bullets"/>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00793A"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29130E"/>
    <w:multiLevelType w:val="multilevel"/>
    <w:tmpl w:val="6ADAB538"/>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5F"/>
    <w:rsid w:val="00003A73"/>
    <w:rsid w:val="000348EB"/>
    <w:rsid w:val="00034C8D"/>
    <w:rsid w:val="0004243A"/>
    <w:rsid w:val="00043BEB"/>
    <w:rsid w:val="000500AA"/>
    <w:rsid w:val="00060907"/>
    <w:rsid w:val="00074600"/>
    <w:rsid w:val="000B655C"/>
    <w:rsid w:val="000B6C4D"/>
    <w:rsid w:val="000D4720"/>
    <w:rsid w:val="00104617"/>
    <w:rsid w:val="00127EEB"/>
    <w:rsid w:val="0013151E"/>
    <w:rsid w:val="001374C2"/>
    <w:rsid w:val="00153663"/>
    <w:rsid w:val="00165DEE"/>
    <w:rsid w:val="00191492"/>
    <w:rsid w:val="0019436C"/>
    <w:rsid w:val="001B3F17"/>
    <w:rsid w:val="001F4592"/>
    <w:rsid w:val="001F50AF"/>
    <w:rsid w:val="001F6B67"/>
    <w:rsid w:val="0022699A"/>
    <w:rsid w:val="0024026D"/>
    <w:rsid w:val="00270607"/>
    <w:rsid w:val="00273D23"/>
    <w:rsid w:val="002A1254"/>
    <w:rsid w:val="002D5D44"/>
    <w:rsid w:val="002F14FB"/>
    <w:rsid w:val="003168F0"/>
    <w:rsid w:val="003355ED"/>
    <w:rsid w:val="00364ADF"/>
    <w:rsid w:val="00390B56"/>
    <w:rsid w:val="0040536D"/>
    <w:rsid w:val="00413A66"/>
    <w:rsid w:val="00417018"/>
    <w:rsid w:val="0042444A"/>
    <w:rsid w:val="00444401"/>
    <w:rsid w:val="0044522F"/>
    <w:rsid w:val="00472D5E"/>
    <w:rsid w:val="00476AD6"/>
    <w:rsid w:val="00486064"/>
    <w:rsid w:val="004C535C"/>
    <w:rsid w:val="004D77C9"/>
    <w:rsid w:val="004E6634"/>
    <w:rsid w:val="004F0AE8"/>
    <w:rsid w:val="00532948"/>
    <w:rsid w:val="005470AE"/>
    <w:rsid w:val="0055542E"/>
    <w:rsid w:val="0057348D"/>
    <w:rsid w:val="005770B6"/>
    <w:rsid w:val="00585226"/>
    <w:rsid w:val="005A21EE"/>
    <w:rsid w:val="005A3354"/>
    <w:rsid w:val="005A6742"/>
    <w:rsid w:val="005C0A27"/>
    <w:rsid w:val="005C285A"/>
    <w:rsid w:val="00625780"/>
    <w:rsid w:val="006762EC"/>
    <w:rsid w:val="00682800"/>
    <w:rsid w:val="006A1D4A"/>
    <w:rsid w:val="006A2530"/>
    <w:rsid w:val="006B07F9"/>
    <w:rsid w:val="006B0B6C"/>
    <w:rsid w:val="006B31E4"/>
    <w:rsid w:val="006C588B"/>
    <w:rsid w:val="006E0BF7"/>
    <w:rsid w:val="006F6F6B"/>
    <w:rsid w:val="00713048"/>
    <w:rsid w:val="00714BC0"/>
    <w:rsid w:val="00716BA6"/>
    <w:rsid w:val="00722C6A"/>
    <w:rsid w:val="00734895"/>
    <w:rsid w:val="00757CA1"/>
    <w:rsid w:val="00785F24"/>
    <w:rsid w:val="00796BD2"/>
    <w:rsid w:val="007A247C"/>
    <w:rsid w:val="007A62CD"/>
    <w:rsid w:val="007B7AD1"/>
    <w:rsid w:val="007C1340"/>
    <w:rsid w:val="007C7808"/>
    <w:rsid w:val="007D010F"/>
    <w:rsid w:val="007F4CD8"/>
    <w:rsid w:val="00844AB2"/>
    <w:rsid w:val="0085214E"/>
    <w:rsid w:val="00867E5B"/>
    <w:rsid w:val="008724DF"/>
    <w:rsid w:val="008854A4"/>
    <w:rsid w:val="00930A93"/>
    <w:rsid w:val="00937C87"/>
    <w:rsid w:val="00942C82"/>
    <w:rsid w:val="0094429D"/>
    <w:rsid w:val="00991BBE"/>
    <w:rsid w:val="009A0392"/>
    <w:rsid w:val="009C59AC"/>
    <w:rsid w:val="00A3474C"/>
    <w:rsid w:val="00A40EF6"/>
    <w:rsid w:val="00A61E5C"/>
    <w:rsid w:val="00A82094"/>
    <w:rsid w:val="00A84B6E"/>
    <w:rsid w:val="00AA4270"/>
    <w:rsid w:val="00AB6659"/>
    <w:rsid w:val="00AD04CA"/>
    <w:rsid w:val="00AE3532"/>
    <w:rsid w:val="00AF0D70"/>
    <w:rsid w:val="00AF299A"/>
    <w:rsid w:val="00AF739F"/>
    <w:rsid w:val="00B10AC1"/>
    <w:rsid w:val="00B12732"/>
    <w:rsid w:val="00B1660E"/>
    <w:rsid w:val="00B35193"/>
    <w:rsid w:val="00B5473C"/>
    <w:rsid w:val="00B7138A"/>
    <w:rsid w:val="00B73F1A"/>
    <w:rsid w:val="00B75E06"/>
    <w:rsid w:val="00B84A45"/>
    <w:rsid w:val="00B874A3"/>
    <w:rsid w:val="00BB3E2F"/>
    <w:rsid w:val="00BD7FA2"/>
    <w:rsid w:val="00BE2866"/>
    <w:rsid w:val="00BF5845"/>
    <w:rsid w:val="00C05426"/>
    <w:rsid w:val="00C332D9"/>
    <w:rsid w:val="00C35050"/>
    <w:rsid w:val="00C373A4"/>
    <w:rsid w:val="00C4448F"/>
    <w:rsid w:val="00C56C78"/>
    <w:rsid w:val="00CB3612"/>
    <w:rsid w:val="00CB794E"/>
    <w:rsid w:val="00CF7AAE"/>
    <w:rsid w:val="00D02BE2"/>
    <w:rsid w:val="00D116B8"/>
    <w:rsid w:val="00D479A8"/>
    <w:rsid w:val="00D866E3"/>
    <w:rsid w:val="00DB30A5"/>
    <w:rsid w:val="00DC2D7B"/>
    <w:rsid w:val="00DC37AD"/>
    <w:rsid w:val="00DD0E21"/>
    <w:rsid w:val="00DF567C"/>
    <w:rsid w:val="00E01286"/>
    <w:rsid w:val="00E02421"/>
    <w:rsid w:val="00E06C36"/>
    <w:rsid w:val="00E35D1B"/>
    <w:rsid w:val="00E7040C"/>
    <w:rsid w:val="00E7416A"/>
    <w:rsid w:val="00E9407E"/>
    <w:rsid w:val="00EB515F"/>
    <w:rsid w:val="00ED651E"/>
    <w:rsid w:val="00EF1D91"/>
    <w:rsid w:val="00F00AF9"/>
    <w:rsid w:val="00F05EF8"/>
    <w:rsid w:val="00F07388"/>
    <w:rsid w:val="00F0769E"/>
    <w:rsid w:val="00F536DC"/>
    <w:rsid w:val="00FA0FB2"/>
    <w:rsid w:val="00FB27A9"/>
    <w:rsid w:val="00FC6CD4"/>
    <w:rsid w:val="00FC7D30"/>
    <w:rsid w:val="00FF394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1918"/>
  <w15:docId w15:val="{6EB33201-8F6A-4C03-A3A3-4F901A1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Titre1">
    <w:name w:val="heading 1"/>
    <w:basedOn w:val="Normal"/>
    <w:next w:val="Normal"/>
    <w:link w:val="Titre1Car"/>
    <w:uiPriority w:val="9"/>
    <w:qFormat/>
    <w:rsid w:val="000B6C4D"/>
    <w:pPr>
      <w:spacing w:after="240"/>
      <w:outlineLvl w:val="0"/>
    </w:pPr>
    <w:rPr>
      <w:b/>
      <w:color w:val="000000" w:themeColor="text1"/>
      <w:sz w:val="24"/>
    </w:rPr>
  </w:style>
  <w:style w:type="paragraph" w:styleId="Titre2">
    <w:name w:val="heading 2"/>
    <w:basedOn w:val="Titre1"/>
    <w:next w:val="Normal"/>
    <w:link w:val="Titre2Car"/>
    <w:uiPriority w:val="9"/>
    <w:qFormat/>
    <w:rsid w:val="000B6C4D"/>
    <w:pPr>
      <w:spacing w:after="120"/>
      <w:outlineLvl w:val="1"/>
    </w:pPr>
    <w:rPr>
      <w:sz w:val="20"/>
    </w:rPr>
  </w:style>
  <w:style w:type="paragraph" w:styleId="Titre3">
    <w:name w:val="heading 3"/>
    <w:basedOn w:val="Titre2"/>
    <w:next w:val="Normal"/>
    <w:link w:val="Titre3Car"/>
    <w:uiPriority w:val="9"/>
    <w:qFormat/>
    <w:rsid w:val="000B6C4D"/>
    <w:pPr>
      <w:outlineLvl w:val="2"/>
    </w:pPr>
    <w:rPr>
      <w:b w:val="0"/>
    </w:rPr>
  </w:style>
  <w:style w:type="paragraph" w:styleId="Titre4">
    <w:name w:val="heading 4"/>
    <w:basedOn w:val="Titre3"/>
    <w:next w:val="Normal"/>
    <w:link w:val="Titre4Car"/>
    <w:uiPriority w:val="9"/>
    <w:qFormat/>
    <w:rsid w:val="000B6C4D"/>
    <w:pPr>
      <w:outlineLvl w:val="3"/>
    </w:pPr>
    <w:rPr>
      <w:bCs/>
      <w: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B6C4D"/>
    <w:rPr>
      <w:bCs/>
      <w:i/>
    </w:rPr>
  </w:style>
  <w:style w:type="character" w:customStyle="1" w:styleId="Titre3Car">
    <w:name w:val="Titre 3 Car"/>
    <w:basedOn w:val="Policepardfaut"/>
    <w:link w:val="Titre3"/>
    <w:uiPriority w:val="9"/>
    <w:rsid w:val="000B6C4D"/>
    <w:rPr>
      <w:color w:val="000000" w:themeColor="text1"/>
    </w:rPr>
  </w:style>
  <w:style w:type="character" w:customStyle="1" w:styleId="Titre1Car">
    <w:name w:val="Titre 1 Car"/>
    <w:basedOn w:val="Policepardfaut"/>
    <w:link w:val="Titre1"/>
    <w:uiPriority w:val="9"/>
    <w:rsid w:val="000B6C4D"/>
    <w:rPr>
      <w:b/>
      <w:color w:val="000000" w:themeColor="text1"/>
      <w:sz w:val="24"/>
    </w:rPr>
  </w:style>
  <w:style w:type="character" w:customStyle="1" w:styleId="Titre2Car">
    <w:name w:val="Titre 2 Car"/>
    <w:basedOn w:val="Policepardfaut"/>
    <w:link w:val="Titre2"/>
    <w:uiPriority w:val="9"/>
    <w:rsid w:val="000B6C4D"/>
    <w:rPr>
      <w:b/>
      <w:color w:val="000000" w:themeColor="text1"/>
    </w:rPr>
  </w:style>
  <w:style w:type="paragraph" w:styleId="En-tte">
    <w:name w:val="header"/>
    <w:basedOn w:val="Normal"/>
    <w:link w:val="En-tteCar"/>
    <w:uiPriority w:val="99"/>
    <w:unhideWhenUsed/>
    <w:rsid w:val="00B35193"/>
    <w:pPr>
      <w:tabs>
        <w:tab w:val="right" w:pos="10632"/>
      </w:tabs>
      <w:spacing w:line="280" w:lineRule="exact"/>
      <w:ind w:right="38"/>
    </w:pPr>
    <w:rPr>
      <w:rFonts w:eastAsia="Calibri" w:cs="Times New Roman"/>
    </w:rPr>
  </w:style>
  <w:style w:type="character" w:customStyle="1" w:styleId="En-tteCar">
    <w:name w:val="En-tête Car"/>
    <w:basedOn w:val="Policepardfaut"/>
    <w:link w:val="En-tte"/>
    <w:uiPriority w:val="99"/>
    <w:rsid w:val="00B35193"/>
    <w:rPr>
      <w:rFonts w:eastAsia="Calibri" w:cs="Times New Roman"/>
    </w:rPr>
  </w:style>
  <w:style w:type="paragraph" w:styleId="Pieddepage">
    <w:name w:val="footer"/>
    <w:basedOn w:val="Normal"/>
    <w:link w:val="PieddepageCar"/>
    <w:uiPriority w:val="99"/>
    <w:unhideWhenUsed/>
    <w:rsid w:val="00B35193"/>
    <w:pPr>
      <w:tabs>
        <w:tab w:val="center" w:pos="4536"/>
        <w:tab w:val="right" w:pos="9072"/>
      </w:tabs>
      <w:ind w:right="284"/>
    </w:pPr>
    <w:rPr>
      <w:rFonts w:eastAsia="Calibri" w:cs="Times New Roman"/>
      <w:szCs w:val="22"/>
    </w:rPr>
  </w:style>
  <w:style w:type="character" w:customStyle="1" w:styleId="PieddepageCar">
    <w:name w:val="Pied de page Car"/>
    <w:basedOn w:val="Policepardfaut"/>
    <w:link w:val="Pieddepage"/>
    <w:uiPriority w:val="99"/>
    <w:rsid w:val="00B35193"/>
    <w:rPr>
      <w:rFonts w:eastAsia="Calibri" w:cs="Times New Roman"/>
      <w:szCs w:val="22"/>
    </w:rPr>
  </w:style>
  <w:style w:type="character" w:styleId="Lienhypertexte">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Titre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Titre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Titre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Textedebulles">
    <w:name w:val="Balloon Text"/>
    <w:basedOn w:val="Normal"/>
    <w:link w:val="TextedebullesCar"/>
    <w:uiPriority w:val="99"/>
    <w:semiHidden/>
    <w:unhideWhenUsed/>
    <w:rsid w:val="00B35193"/>
    <w:rPr>
      <w:rFonts w:ascii="Tahoma" w:hAnsi="Tahoma" w:cs="Tahoma"/>
      <w:sz w:val="16"/>
      <w:szCs w:val="16"/>
    </w:rPr>
  </w:style>
  <w:style w:type="character" w:customStyle="1" w:styleId="TextedebullesCar">
    <w:name w:val="Texte de bulles Car"/>
    <w:basedOn w:val="Policepardfaut"/>
    <w:link w:val="Textedebulles"/>
    <w:uiPriority w:val="99"/>
    <w:semiHidden/>
    <w:rsid w:val="00B35193"/>
    <w:rPr>
      <w:rFonts w:ascii="Tahoma" w:hAnsi="Tahoma" w:cs="Tahoma"/>
      <w:sz w:val="16"/>
      <w:szCs w:val="16"/>
    </w:rPr>
  </w:style>
  <w:style w:type="character" w:customStyle="1" w:styleId="NichtaufgelsteErwhnung1">
    <w:name w:val="Nicht aufgelöste Erwähnung1"/>
    <w:basedOn w:val="Policepardfaut"/>
    <w:uiPriority w:val="99"/>
    <w:semiHidden/>
    <w:unhideWhenUsed/>
    <w:rsid w:val="00EF1D91"/>
    <w:rPr>
      <w:color w:val="808080"/>
      <w:shd w:val="clear" w:color="auto" w:fill="E6E6E6"/>
    </w:rPr>
  </w:style>
  <w:style w:type="table" w:styleId="Grilledutableau">
    <w:name w:val="Table Grid"/>
    <w:basedOn w:val="Tableau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84B6E"/>
    <w:rPr>
      <w:sz w:val="16"/>
      <w:szCs w:val="16"/>
    </w:rPr>
  </w:style>
  <w:style w:type="paragraph" w:styleId="Commentaire">
    <w:name w:val="annotation text"/>
    <w:basedOn w:val="Normal"/>
    <w:link w:val="CommentaireCar"/>
    <w:uiPriority w:val="99"/>
    <w:semiHidden/>
    <w:unhideWhenUsed/>
    <w:rsid w:val="00A84B6E"/>
  </w:style>
  <w:style w:type="character" w:customStyle="1" w:styleId="CommentaireCar">
    <w:name w:val="Commentaire Car"/>
    <w:basedOn w:val="Policepardfaut"/>
    <w:link w:val="Commentaire"/>
    <w:uiPriority w:val="99"/>
    <w:semiHidden/>
    <w:rsid w:val="00A84B6E"/>
  </w:style>
  <w:style w:type="paragraph" w:styleId="Objetducommentaire">
    <w:name w:val="annotation subject"/>
    <w:basedOn w:val="Commentaire"/>
    <w:next w:val="Commentaire"/>
    <w:link w:val="ObjetducommentaireCar"/>
    <w:uiPriority w:val="99"/>
    <w:semiHidden/>
    <w:unhideWhenUsed/>
    <w:rsid w:val="00A84B6E"/>
    <w:rPr>
      <w:b/>
      <w:bCs/>
    </w:rPr>
  </w:style>
  <w:style w:type="character" w:customStyle="1" w:styleId="ObjetducommentaireCar">
    <w:name w:val="Objet du commentaire Car"/>
    <w:basedOn w:val="CommentaireCar"/>
    <w:link w:val="Objetducommentaire"/>
    <w:uiPriority w:val="99"/>
    <w:semiHidden/>
    <w:rsid w:val="00A84B6E"/>
    <w:rPr>
      <w:b/>
      <w:bCs/>
    </w:rPr>
  </w:style>
  <w:style w:type="table" w:customStyle="1" w:styleId="Tabellenraster1">
    <w:name w:val="Tabellenraster1"/>
    <w:basedOn w:val="TableauNormal"/>
    <w:next w:val="Grilledutableau"/>
    <w:uiPriority w:val="59"/>
    <w:rsid w:val="00AF0D70"/>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53663"/>
    <w:rPr>
      <w:color w:val="808080"/>
      <w:shd w:val="clear" w:color="auto" w:fill="E6E6E6"/>
    </w:rPr>
  </w:style>
  <w:style w:type="paragraph" w:customStyle="1" w:styleId="Default">
    <w:name w:val="Default"/>
    <w:rsid w:val="00D02BE2"/>
    <w:pPr>
      <w:autoSpaceDE w:val="0"/>
      <w:autoSpaceDN w:val="0"/>
      <w:adjustRightInd w:val="0"/>
    </w:pPr>
    <w:rPr>
      <w:rFonts w:ascii="Calibri" w:hAnsi="Calibri" w:cs="Calibri"/>
      <w:color w:val="000000"/>
      <w:sz w:val="24"/>
      <w:szCs w:val="24"/>
      <w:lang w:val="fr-FR"/>
    </w:rPr>
  </w:style>
  <w:style w:type="paragraph" w:styleId="Notedebasdepage">
    <w:name w:val="footnote text"/>
    <w:basedOn w:val="Normal"/>
    <w:link w:val="NotedebasdepageCar"/>
    <w:uiPriority w:val="99"/>
    <w:semiHidden/>
    <w:unhideWhenUsed/>
    <w:rsid w:val="00191492"/>
  </w:style>
  <w:style w:type="character" w:customStyle="1" w:styleId="NotedebasdepageCar">
    <w:name w:val="Note de bas de page Car"/>
    <w:basedOn w:val="Policepardfaut"/>
    <w:link w:val="Notedebasdepage"/>
    <w:uiPriority w:val="99"/>
    <w:semiHidden/>
    <w:rsid w:val="00191492"/>
  </w:style>
  <w:style w:type="character" w:styleId="Appelnotedebasdep">
    <w:name w:val="footnote reference"/>
    <w:basedOn w:val="Policepardfaut"/>
    <w:uiPriority w:val="99"/>
    <w:semiHidden/>
    <w:unhideWhenUsed/>
    <w:rsid w:val="00191492"/>
    <w:rPr>
      <w:vertAlign w:val="superscript"/>
    </w:rPr>
  </w:style>
  <w:style w:type="paragraph" w:styleId="Rvision">
    <w:name w:val="Revision"/>
    <w:hidden/>
    <w:uiPriority w:val="99"/>
    <w:semiHidden/>
    <w:rsid w:val="0085214E"/>
  </w:style>
  <w:style w:type="character" w:customStyle="1" w:styleId="Corpsdutexte2">
    <w:name w:val="Corps du texte (2)_"/>
    <w:basedOn w:val="Policepardfaut"/>
    <w:rsid w:val="00867E5B"/>
    <w:rPr>
      <w:rFonts w:ascii="Arial" w:eastAsia="Arial" w:hAnsi="Arial" w:cs="Arial"/>
      <w:b w:val="0"/>
      <w:bCs w:val="0"/>
      <w:i w:val="0"/>
      <w:iCs w:val="0"/>
      <w:smallCaps w:val="0"/>
      <w:strike w:val="0"/>
      <w:sz w:val="22"/>
      <w:szCs w:val="22"/>
      <w:u w:val="none"/>
    </w:rPr>
  </w:style>
  <w:style w:type="character" w:customStyle="1" w:styleId="Corpsdutexte20">
    <w:name w:val="Corps du texte (2)"/>
    <w:basedOn w:val="Corpsdutexte2"/>
    <w:rsid w:val="00867E5B"/>
    <w:rPr>
      <w:rFonts w:ascii="Arial" w:eastAsia="Arial" w:hAnsi="Arial" w:cs="Arial"/>
      <w:b w:val="0"/>
      <w:bCs w:val="0"/>
      <w:i w:val="0"/>
      <w:iCs w:val="0"/>
      <w:smallCaps w:val="0"/>
      <w:strike w:val="0"/>
      <w:color w:val="000000"/>
      <w:spacing w:val="0"/>
      <w:w w:val="100"/>
      <w:position w:val="0"/>
      <w:sz w:val="22"/>
      <w:szCs w:val="22"/>
      <w:u w:val="single"/>
      <w:lang w:val="fr-FR" w:eastAsia="en-US" w:bidi="en-US"/>
    </w:rPr>
  </w:style>
  <w:style w:type="character" w:customStyle="1" w:styleId="Corpsdutexte5">
    <w:name w:val="Corps du texte (5)_"/>
    <w:basedOn w:val="Policepardfaut"/>
    <w:link w:val="Corpsdutexte50"/>
    <w:rsid w:val="00867E5B"/>
    <w:rPr>
      <w:rFonts w:eastAsia="Arial" w:cs="Arial"/>
      <w:b/>
      <w:bCs/>
      <w:shd w:val="clear" w:color="auto" w:fill="FFFFFF"/>
    </w:rPr>
  </w:style>
  <w:style w:type="character" w:customStyle="1" w:styleId="Corpsdutexte58ptNonGras">
    <w:name w:val="Corps du texte (5) + 8 pt;Non Gras"/>
    <w:basedOn w:val="Corpsdutexte5"/>
    <w:rsid w:val="00867E5B"/>
    <w:rPr>
      <w:rFonts w:eastAsia="Arial" w:cs="Arial"/>
      <w:b/>
      <w:bCs/>
      <w:color w:val="000000"/>
      <w:spacing w:val="0"/>
      <w:w w:val="100"/>
      <w:position w:val="0"/>
      <w:sz w:val="16"/>
      <w:szCs w:val="16"/>
      <w:shd w:val="clear" w:color="auto" w:fill="FFFFFF"/>
      <w:lang w:val="fr-FR" w:eastAsia="en-US" w:bidi="en-US"/>
    </w:rPr>
  </w:style>
  <w:style w:type="paragraph" w:customStyle="1" w:styleId="Corpsdutexte50">
    <w:name w:val="Corps du texte (5)"/>
    <w:basedOn w:val="Normal"/>
    <w:link w:val="Corpsdutexte5"/>
    <w:rsid w:val="00867E5B"/>
    <w:pPr>
      <w:widowControl w:val="0"/>
      <w:shd w:val="clear" w:color="auto" w:fill="FFFFFF"/>
      <w:spacing w:before="420" w:line="475" w:lineRule="exact"/>
      <w:ind w:hanging="320"/>
      <w:jc w:val="both"/>
    </w:pPr>
    <w:rPr>
      <w:rFonts w:eastAsia="Arial" w:cs="Arial"/>
      <w:b/>
      <w:bCs/>
    </w:rPr>
  </w:style>
  <w:style w:type="character" w:customStyle="1" w:styleId="Corpsdutexte6Exact">
    <w:name w:val="Corps du texte (6) Exact"/>
    <w:basedOn w:val="Policepardfaut"/>
    <w:link w:val="Corpsdutexte6"/>
    <w:rsid w:val="00867E5B"/>
    <w:rPr>
      <w:rFonts w:eastAsia="Arial" w:cs="Arial"/>
      <w:sz w:val="17"/>
      <w:szCs w:val="17"/>
      <w:shd w:val="clear" w:color="auto" w:fill="FFFFFF"/>
    </w:rPr>
  </w:style>
  <w:style w:type="paragraph" w:customStyle="1" w:styleId="Corpsdutexte6">
    <w:name w:val="Corps du texte (6)"/>
    <w:basedOn w:val="Normal"/>
    <w:link w:val="Corpsdutexte6Exact"/>
    <w:rsid w:val="00867E5B"/>
    <w:pPr>
      <w:widowControl w:val="0"/>
      <w:shd w:val="clear" w:color="auto" w:fill="FFFFFF"/>
      <w:spacing w:line="240" w:lineRule="exact"/>
      <w:jc w:val="right"/>
    </w:pPr>
    <w:rPr>
      <w:rFonts w:eastAsia="Arial" w:cs="Arial"/>
      <w:sz w:val="17"/>
      <w:szCs w:val="17"/>
    </w:rPr>
  </w:style>
  <w:style w:type="character" w:customStyle="1" w:styleId="Titre20">
    <w:name w:val="Titre #2_"/>
    <w:basedOn w:val="Policepardfaut"/>
    <w:link w:val="Titre21"/>
    <w:rsid w:val="00867E5B"/>
    <w:rPr>
      <w:rFonts w:eastAsia="Arial" w:cs="Arial"/>
      <w:b/>
      <w:bCs/>
      <w:shd w:val="clear" w:color="auto" w:fill="FFFFFF"/>
    </w:rPr>
  </w:style>
  <w:style w:type="character" w:customStyle="1" w:styleId="Corpsdutexte2Candara">
    <w:name w:val="Corps du texte (2) + Candara"/>
    <w:basedOn w:val="Corpsdutexte2"/>
    <w:rsid w:val="00867E5B"/>
    <w:rPr>
      <w:rFonts w:ascii="Candara" w:eastAsia="Candara" w:hAnsi="Candara" w:cs="Candara"/>
      <w:color w:val="000000"/>
      <w:spacing w:val="0"/>
      <w:w w:val="100"/>
      <w:position w:val="0"/>
      <w:sz w:val="22"/>
      <w:szCs w:val="22"/>
      <w:shd w:val="clear" w:color="auto" w:fill="FFFFFF"/>
      <w:lang w:val="fr-FR" w:eastAsia="en-US" w:bidi="en-US"/>
    </w:rPr>
  </w:style>
  <w:style w:type="paragraph" w:customStyle="1" w:styleId="Titre21">
    <w:name w:val="Titre #2"/>
    <w:basedOn w:val="Normal"/>
    <w:link w:val="Titre20"/>
    <w:rsid w:val="00867E5B"/>
    <w:pPr>
      <w:widowControl w:val="0"/>
      <w:shd w:val="clear" w:color="auto" w:fill="FFFFFF"/>
      <w:spacing w:before="180" w:after="360" w:line="0" w:lineRule="atLeast"/>
      <w:jc w:val="both"/>
      <w:outlineLvl w:val="1"/>
    </w:pPr>
    <w:rPr>
      <w:rFonts w:eastAsia="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79247">
      <w:bodyDiv w:val="1"/>
      <w:marLeft w:val="0"/>
      <w:marRight w:val="0"/>
      <w:marTop w:val="0"/>
      <w:marBottom w:val="0"/>
      <w:divBdr>
        <w:top w:val="none" w:sz="0" w:space="0" w:color="auto"/>
        <w:left w:val="none" w:sz="0" w:space="0" w:color="auto"/>
        <w:bottom w:val="none" w:sz="0" w:space="0" w:color="auto"/>
        <w:right w:val="none" w:sz="0" w:space="0" w:color="auto"/>
      </w:divBdr>
    </w:div>
    <w:div w:id="10847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asf.com" TargetMode="External"/><Relationship Id="rId1" Type="http://schemas.openxmlformats.org/officeDocument/2006/relationships/hyperlink" Target="mailto:stefanie.wettberg@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darkgreen">
      <a:dk1>
        <a:srgbClr val="000000"/>
      </a:dk1>
      <a:lt1>
        <a:srgbClr val="FFFFFF"/>
      </a:lt1>
      <a:dk2>
        <a:srgbClr val="004E18"/>
      </a:dk2>
      <a:lt2>
        <a:srgbClr val="FFFFFF"/>
      </a:lt2>
      <a:accent1>
        <a:srgbClr val="00793A"/>
      </a:accent1>
      <a:accent2>
        <a:srgbClr val="379665"/>
      </a:accent2>
      <a:accent3>
        <a:srgbClr val="62AC86"/>
      </a:accent3>
      <a:accent4>
        <a:srgbClr val="A6D0BA"/>
      </a:accent4>
      <a:accent5>
        <a:srgbClr val="E0EFE7"/>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C6C4-2FAC-4A71-888E-D3CD9A8C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7783</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alysee.rollier@basf.com</cp:lastModifiedBy>
  <cp:revision>4</cp:revision>
  <cp:lastPrinted>2017-08-25T13:00:00Z</cp:lastPrinted>
  <dcterms:created xsi:type="dcterms:W3CDTF">2022-02-07T17:06:00Z</dcterms:created>
  <dcterms:modified xsi:type="dcterms:W3CDTF">2022-03-15T09:56:00Z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G5IKC01@BASFAD.BASF.NET</vt:lpwstr>
  </property>
  <property fmtid="{D5CDD505-2E9C-101B-9397-08002B2CF9AE}" pid="6" name="MSIP_Label_c8c00982-80e1-41e6-a03a-12f4ca954faf_SetDate">
    <vt:lpwstr>2021-03-09T11:02:21.4041923Z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3bfaa184-034b-4eb2-a10a-98fe3195c0ec</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G5IKC01@BASFAD.BASF.NET</vt:lpwstr>
  </property>
  <property fmtid="{D5CDD505-2E9C-101B-9397-08002B2CF9AE}" pid="14" name="MSIP_Label_06530cf4-8573-4c29-a912-bbcdac835909_SetDate">
    <vt:lpwstr>2021-03-09T11:02:21.4041923Z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3bfaa184-034b-4eb2-a10a-98fe3195c0ec</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ies>
</file>